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8C0C" w14:textId="77777777" w:rsidR="00DD5BCD" w:rsidRDefault="00DD5BCD" w:rsidP="00DD5BCD">
      <w:pPr>
        <w:pStyle w:val="ListParagraph"/>
        <w:ind w:left="0"/>
        <w:jc w:val="center"/>
        <w:rPr>
          <w:rFonts w:cs="Times New Roman"/>
          <w:b/>
          <w:bCs/>
          <w:szCs w:val="24"/>
        </w:rPr>
      </w:pPr>
      <w:r w:rsidRPr="00B444D8">
        <w:rPr>
          <w:rFonts w:cs="Times New Roman"/>
          <w:b/>
          <w:bCs/>
          <w:szCs w:val="24"/>
          <w:u w:val="single"/>
        </w:rPr>
        <w:t xml:space="preserve">Appendix </w:t>
      </w:r>
      <w:r>
        <w:rPr>
          <w:rFonts w:cs="Times New Roman"/>
          <w:b/>
          <w:bCs/>
          <w:szCs w:val="24"/>
          <w:u w:val="single"/>
        </w:rPr>
        <w:t>B</w:t>
      </w:r>
      <w:r>
        <w:rPr>
          <w:rFonts w:cs="Times New Roman"/>
          <w:b/>
          <w:bCs/>
          <w:szCs w:val="24"/>
        </w:rPr>
        <w:t>:</w:t>
      </w:r>
    </w:p>
    <w:p w14:paraId="68DA795B" w14:textId="77777777" w:rsidR="00DD5BCD" w:rsidRPr="00AC28CB" w:rsidRDefault="00DD5BCD" w:rsidP="00DD5BCD">
      <w:pPr>
        <w:pStyle w:val="ListParagraph"/>
        <w:ind w:left="0"/>
        <w:jc w:val="center"/>
        <w:rPr>
          <w:rFonts w:cs="Times New Roman"/>
          <w:b/>
          <w:bCs/>
          <w:szCs w:val="24"/>
        </w:rPr>
      </w:pPr>
      <w:r>
        <w:rPr>
          <w:rFonts w:cs="Times New Roman"/>
          <w:b/>
          <w:bCs/>
          <w:szCs w:val="24"/>
        </w:rPr>
        <w:t xml:space="preserve">Witnesses from the </w:t>
      </w:r>
      <w:r w:rsidRPr="00AC28CB">
        <w:rPr>
          <w:rFonts w:cs="Times New Roman"/>
          <w:b/>
          <w:bCs/>
          <w:szCs w:val="24"/>
        </w:rPr>
        <w:t>Hearing</w:t>
      </w:r>
      <w:r>
        <w:rPr>
          <w:rFonts w:cs="Times New Roman"/>
          <w:b/>
          <w:bCs/>
          <w:szCs w:val="24"/>
        </w:rPr>
        <w:t>s</w:t>
      </w:r>
      <w:r w:rsidRPr="00AC28CB">
        <w:rPr>
          <w:rFonts w:cs="Times New Roman"/>
          <w:b/>
          <w:bCs/>
          <w:szCs w:val="24"/>
        </w:rPr>
        <w:t xml:space="preserve"> Before the Subcomm</w:t>
      </w:r>
      <w:r>
        <w:rPr>
          <w:rFonts w:cs="Times New Roman"/>
          <w:b/>
          <w:bCs/>
          <w:szCs w:val="24"/>
        </w:rPr>
        <w:t>ittee</w:t>
      </w:r>
      <w:r w:rsidRPr="00AC28CB">
        <w:rPr>
          <w:rFonts w:cs="Times New Roman"/>
          <w:b/>
          <w:bCs/>
          <w:szCs w:val="24"/>
        </w:rPr>
        <w:t xml:space="preserve"> on I</w:t>
      </w:r>
      <w:r>
        <w:rPr>
          <w:rFonts w:cs="Times New Roman"/>
          <w:b/>
          <w:bCs/>
          <w:szCs w:val="24"/>
        </w:rPr>
        <w:t>P</w:t>
      </w:r>
      <w:r w:rsidRPr="00AC28CB">
        <w:rPr>
          <w:rFonts w:cs="Times New Roman"/>
          <w:b/>
          <w:bCs/>
          <w:szCs w:val="24"/>
        </w:rPr>
        <w:t xml:space="preserve"> of the S</w:t>
      </w:r>
      <w:r>
        <w:rPr>
          <w:rFonts w:cs="Times New Roman"/>
          <w:b/>
          <w:bCs/>
          <w:szCs w:val="24"/>
        </w:rPr>
        <w:t>enate</w:t>
      </w:r>
      <w:r w:rsidRPr="00AC28CB">
        <w:rPr>
          <w:rFonts w:cs="Times New Roman"/>
          <w:b/>
          <w:bCs/>
          <w:szCs w:val="24"/>
        </w:rPr>
        <w:t xml:space="preserve"> Comm</w:t>
      </w:r>
      <w:r>
        <w:rPr>
          <w:rFonts w:cs="Times New Roman"/>
          <w:b/>
          <w:bCs/>
          <w:szCs w:val="24"/>
        </w:rPr>
        <w:t>ittee</w:t>
      </w:r>
      <w:r w:rsidRPr="00AC28CB">
        <w:rPr>
          <w:rFonts w:cs="Times New Roman"/>
          <w:b/>
          <w:bCs/>
          <w:szCs w:val="24"/>
        </w:rPr>
        <w:t xml:space="preserve"> on the Judiciary, 116th Cong. (2019)</w:t>
      </w:r>
      <w:r>
        <w:rPr>
          <w:rFonts w:cs="Times New Roman"/>
          <w:b/>
          <w:bCs/>
          <w:szCs w:val="24"/>
        </w:rPr>
        <w:t xml:space="preserve"> who Testified to the Uncertainty of Current S. 101 Law</w:t>
      </w:r>
    </w:p>
    <w:p w14:paraId="206E7F76" w14:textId="77777777" w:rsidR="00DD5BCD" w:rsidRPr="00F54E89" w:rsidRDefault="00DD5BCD" w:rsidP="00DD5BCD">
      <w:pPr>
        <w:pStyle w:val="FootnoteText"/>
        <w:rPr>
          <w:rFonts w:cs="Times New Roman"/>
          <w:b/>
          <w:bCs/>
          <w:sz w:val="22"/>
          <w:szCs w:val="22"/>
          <w:u w:val="single"/>
        </w:rPr>
      </w:pPr>
      <w:r w:rsidRPr="00F54E89">
        <w:rPr>
          <w:rFonts w:cs="Times New Roman"/>
          <w:b/>
          <w:bCs/>
          <w:sz w:val="22"/>
          <w:szCs w:val="22"/>
          <w:u w:val="single"/>
        </w:rPr>
        <w:t>Witnesses supporting reforms:</w:t>
      </w:r>
    </w:p>
    <w:p w14:paraId="4A1C9ED1" w14:textId="77777777" w:rsidR="00DD5BCD" w:rsidRPr="00F54E89" w:rsidRDefault="00DD5BCD" w:rsidP="00DD5BCD">
      <w:pPr>
        <w:pStyle w:val="FootnoteText"/>
        <w:rPr>
          <w:rFonts w:cs="Times New Roman"/>
          <w:sz w:val="22"/>
          <w:szCs w:val="22"/>
        </w:rPr>
      </w:pPr>
    </w:p>
    <w:p w14:paraId="4705A6AB"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Hon. Paul R. Michel, Former Chief Judge United States Court of Appeals for the Federal Circuit (“If I, as a judge with 22 years of experience deciding patent cases on the Federal Circuit’s bench, cannot predict outcomes based on case law, how can we expect patent examiners, trial judges, inventors and investors to do so?”)</w:t>
      </w:r>
    </w:p>
    <w:p w14:paraId="3ED7D9CB" w14:textId="77777777" w:rsidR="00DD5BCD" w:rsidRPr="00F54E89" w:rsidRDefault="00DD5BCD" w:rsidP="00DD5BCD">
      <w:pPr>
        <w:pStyle w:val="FootnoteText"/>
        <w:rPr>
          <w:rFonts w:cs="Times New Roman"/>
          <w:sz w:val="22"/>
          <w:szCs w:val="22"/>
        </w:rPr>
      </w:pPr>
    </w:p>
    <w:p w14:paraId="79CB1B42"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Hon. Q. Todd Dickinson, Former Under-Secretary of Commerce for Intellectual Property and Director, United States Patent and Trademark Office (“Unfortunately, the current rules are unnecessarily ambiguous and uncertain, and this uncertainty ends up serving no one at the end of the day.”)</w:t>
      </w:r>
    </w:p>
    <w:p w14:paraId="7FE19CFF" w14:textId="77777777" w:rsidR="00DD5BCD" w:rsidRPr="00F54E89" w:rsidRDefault="00DD5BCD" w:rsidP="00DD5BCD">
      <w:pPr>
        <w:pStyle w:val="FootnoteText"/>
        <w:rPr>
          <w:rFonts w:cs="Times New Roman"/>
          <w:sz w:val="22"/>
          <w:szCs w:val="22"/>
        </w:rPr>
      </w:pPr>
    </w:p>
    <w:p w14:paraId="0D50E3BE"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Hon. David J. Kappos, Former Director, United States Patent and Trademark Office Partner at Cravath, Swaine &amp; Moore LLP (“Our current patent eligibility law truly is a mess” and the case decisions “are irreconcilable, incoherent, and against our national interest.”)</w:t>
      </w:r>
    </w:p>
    <w:p w14:paraId="733DA24C" w14:textId="77777777" w:rsidR="00DD5BCD" w:rsidRPr="00F54E89" w:rsidRDefault="00DD5BCD" w:rsidP="00DD5BCD">
      <w:pPr>
        <w:pStyle w:val="FootnoteText"/>
        <w:rPr>
          <w:rFonts w:cs="Times New Roman"/>
          <w:sz w:val="22"/>
          <w:szCs w:val="22"/>
        </w:rPr>
      </w:pPr>
    </w:p>
    <w:p w14:paraId="1E88393E"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Professor Jeffrey A. Lefstin, Associate Academic Dean University of California Hastings College of the Law (Section 101 has become an “‘I-know-it-when-I-see-it’ standard.”)</w:t>
      </w:r>
    </w:p>
    <w:p w14:paraId="6B08CE45" w14:textId="77777777" w:rsidR="00DD5BCD" w:rsidRPr="00F54E89" w:rsidRDefault="00DD5BCD" w:rsidP="00DD5BCD">
      <w:pPr>
        <w:pStyle w:val="FootnoteText"/>
        <w:rPr>
          <w:rFonts w:cs="Times New Roman"/>
          <w:sz w:val="22"/>
          <w:szCs w:val="22"/>
        </w:rPr>
      </w:pPr>
    </w:p>
    <w:p w14:paraId="4BDE2999"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Robert A. Armitage, Consultant, IP Strategy and Policy (“whether a claimed invention is or is not ‘patent eligible’ today is fraught with an unacceptable degree of uncertainty.”)</w:t>
      </w:r>
    </w:p>
    <w:p w14:paraId="24EEA83A" w14:textId="77777777" w:rsidR="00DD5BCD" w:rsidRPr="00F54E89" w:rsidRDefault="00DD5BCD" w:rsidP="00DD5BCD">
      <w:pPr>
        <w:pStyle w:val="FootnoteText"/>
        <w:rPr>
          <w:rFonts w:cs="Times New Roman"/>
          <w:sz w:val="22"/>
          <w:szCs w:val="22"/>
        </w:rPr>
      </w:pPr>
    </w:p>
    <w:p w14:paraId="72B88425"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Professor David O. Taylor, Co-Director of the Tsai Center for Law, Science and Innovation, Associate Professor of Law Southern Methodist University Dedman School of Law (“It is exceedingly difficult to understand whether a patent examiner or a court should find subject matter eligible for patenting given the overarching test for eligibility articulated by the Supreme Court.”)</w:t>
      </w:r>
    </w:p>
    <w:p w14:paraId="2BB27FCC" w14:textId="77777777" w:rsidR="00DD5BCD" w:rsidRPr="00F54E89" w:rsidRDefault="00DD5BCD" w:rsidP="00DD5BCD">
      <w:pPr>
        <w:pStyle w:val="FootnoteText"/>
        <w:rPr>
          <w:rFonts w:cs="Times New Roman"/>
          <w:sz w:val="22"/>
          <w:szCs w:val="22"/>
        </w:rPr>
      </w:pPr>
    </w:p>
    <w:p w14:paraId="79DD6E6D" w14:textId="77777777" w:rsidR="00DD5BCD" w:rsidRPr="00F54E89" w:rsidRDefault="00DD5BCD" w:rsidP="00DD5BCD">
      <w:pPr>
        <w:pStyle w:val="FootnoteText"/>
        <w:rPr>
          <w:rFonts w:cs="Times New Roman"/>
          <w:sz w:val="22"/>
          <w:szCs w:val="22"/>
        </w:rPr>
      </w:pPr>
      <w:r w:rsidRPr="00F54E89">
        <w:rPr>
          <w:rFonts w:cs="Times New Roman"/>
          <w:sz w:val="22"/>
          <w:szCs w:val="22"/>
        </w:rPr>
        <w:t>Responses to Questions for the Record of Ms. Sherry M. Knowles, Esq., Principal,</w:t>
      </w:r>
    </w:p>
    <w:p w14:paraId="3EE24A14" w14:textId="77777777" w:rsidR="00DD5BCD" w:rsidRPr="00F54E89" w:rsidRDefault="00DD5BCD" w:rsidP="00DD5BCD">
      <w:pPr>
        <w:pStyle w:val="FootnoteText"/>
        <w:rPr>
          <w:rFonts w:cs="Times New Roman"/>
          <w:sz w:val="22"/>
          <w:szCs w:val="22"/>
        </w:rPr>
      </w:pPr>
      <w:r w:rsidRPr="00F54E89">
        <w:rPr>
          <w:rFonts w:cs="Times New Roman"/>
          <w:sz w:val="22"/>
          <w:szCs w:val="22"/>
        </w:rPr>
        <w:t>Knowles Intellectual Property Strategies (“I fully agree with Judge Lourie and Judge Newman” that “‘the law needs clarification.’”)</w:t>
      </w:r>
    </w:p>
    <w:p w14:paraId="0A40AC1F" w14:textId="77777777" w:rsidR="00DD5BCD" w:rsidRPr="00F54E89" w:rsidRDefault="00DD5BCD" w:rsidP="00DD5BCD">
      <w:pPr>
        <w:pStyle w:val="FootnoteText"/>
        <w:rPr>
          <w:rFonts w:cs="Times New Roman"/>
          <w:sz w:val="22"/>
          <w:szCs w:val="22"/>
        </w:rPr>
      </w:pPr>
    </w:p>
    <w:p w14:paraId="6E17E658"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Mr. Michael Rosen, Adjunct Fellow, American Enterprise Institute (Because of </w:t>
      </w:r>
      <w:r w:rsidRPr="00F54E89">
        <w:rPr>
          <w:rFonts w:cs="Times New Roman"/>
          <w:i/>
          <w:iCs/>
          <w:sz w:val="22"/>
          <w:szCs w:val="22"/>
        </w:rPr>
        <w:t>Mayo</w:t>
      </w:r>
      <w:r w:rsidRPr="00F54E89">
        <w:rPr>
          <w:rFonts w:cs="Times New Roman"/>
          <w:sz w:val="22"/>
          <w:szCs w:val="22"/>
        </w:rPr>
        <w:t xml:space="preserve"> and </w:t>
      </w:r>
      <w:r w:rsidRPr="00F54E89">
        <w:rPr>
          <w:rFonts w:cs="Times New Roman"/>
          <w:i/>
          <w:iCs/>
          <w:sz w:val="22"/>
          <w:szCs w:val="22"/>
        </w:rPr>
        <w:t>Alice</w:t>
      </w:r>
      <w:r w:rsidRPr="00F54E89">
        <w:rPr>
          <w:rFonts w:cs="Times New Roman"/>
          <w:sz w:val="22"/>
          <w:szCs w:val="22"/>
        </w:rPr>
        <w:t>, “patent practice has been thrown into tumult.”)</w:t>
      </w:r>
    </w:p>
    <w:p w14:paraId="25ECA9F1" w14:textId="77777777" w:rsidR="00DD5BCD" w:rsidRPr="00F54E89" w:rsidRDefault="00DD5BCD" w:rsidP="00DD5BCD">
      <w:pPr>
        <w:pStyle w:val="FootnoteText"/>
        <w:rPr>
          <w:rFonts w:cs="Times New Roman"/>
          <w:sz w:val="22"/>
          <w:szCs w:val="22"/>
        </w:rPr>
      </w:pPr>
    </w:p>
    <w:p w14:paraId="034052A7"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Patrick Kilbride, Senior Vice President, Global Innovation Policy Center, U.S. Chamber of Commerce (</w:t>
      </w:r>
      <w:r w:rsidRPr="00F54E89">
        <w:rPr>
          <w:rFonts w:cs="Times New Roman"/>
          <w:i/>
          <w:iCs/>
          <w:sz w:val="22"/>
          <w:szCs w:val="22"/>
        </w:rPr>
        <w:t>Mayo</w:t>
      </w:r>
      <w:r w:rsidRPr="00F54E89">
        <w:rPr>
          <w:rFonts w:cs="Times New Roman"/>
          <w:sz w:val="22"/>
          <w:szCs w:val="22"/>
        </w:rPr>
        <w:t xml:space="preserve"> and </w:t>
      </w:r>
      <w:r w:rsidRPr="00F54E89">
        <w:rPr>
          <w:rFonts w:cs="Times New Roman"/>
          <w:i/>
          <w:iCs/>
          <w:sz w:val="22"/>
          <w:szCs w:val="22"/>
        </w:rPr>
        <w:t>Alice</w:t>
      </w:r>
      <w:r w:rsidRPr="00F54E89">
        <w:rPr>
          <w:rFonts w:cs="Times New Roman"/>
          <w:sz w:val="22"/>
          <w:szCs w:val="22"/>
        </w:rPr>
        <w:t xml:space="preserve"> have “led to considerable uncertainty for innovators and the legal community.”)</w:t>
      </w:r>
    </w:p>
    <w:p w14:paraId="55AF8AD0" w14:textId="77777777" w:rsidR="00DD5BCD" w:rsidRPr="00F54E89" w:rsidRDefault="00DD5BCD" w:rsidP="00DD5BCD">
      <w:pPr>
        <w:pStyle w:val="FootnoteText"/>
        <w:rPr>
          <w:rFonts w:cs="Times New Roman"/>
          <w:sz w:val="22"/>
          <w:szCs w:val="22"/>
        </w:rPr>
      </w:pPr>
    </w:p>
    <w:p w14:paraId="4A6D259B"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Professor Adam Mossoff, Professor of Law Antonin Scalia Law School, George Mason University (“The </w:t>
      </w:r>
      <w:r w:rsidRPr="00F54E89">
        <w:rPr>
          <w:rFonts w:cs="Times New Roman"/>
          <w:i/>
          <w:iCs/>
          <w:sz w:val="22"/>
          <w:szCs w:val="22"/>
        </w:rPr>
        <w:t>Alice-Mayo</w:t>
      </w:r>
      <w:r w:rsidRPr="00F54E89">
        <w:rPr>
          <w:rFonts w:cs="Times New Roman"/>
          <w:sz w:val="22"/>
          <w:szCs w:val="22"/>
        </w:rPr>
        <w:t xml:space="preserve"> framework has created a tremendous amount of uncertainty for innovators.”)</w:t>
      </w:r>
    </w:p>
    <w:p w14:paraId="58488632" w14:textId="77777777" w:rsidR="00DD5BCD" w:rsidRPr="00F54E89" w:rsidRDefault="00DD5BCD" w:rsidP="00DD5BCD">
      <w:pPr>
        <w:pStyle w:val="FootnoteText"/>
        <w:rPr>
          <w:rFonts w:cs="Times New Roman"/>
          <w:sz w:val="22"/>
          <w:szCs w:val="22"/>
        </w:rPr>
      </w:pPr>
    </w:p>
    <w:p w14:paraId="715112AA"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Ms. Barbara Fiacco, </w:t>
      </w:r>
      <w:r w:rsidRPr="00521D7B">
        <w:rPr>
          <w:rFonts w:cs="Times New Roman"/>
          <w:sz w:val="22"/>
          <w:szCs w:val="22"/>
        </w:rPr>
        <w:t xml:space="preserve">President-Elect, </w:t>
      </w:r>
      <w:r w:rsidRPr="00095683">
        <w:rPr>
          <w:rFonts w:cs="Times New Roman"/>
          <w:sz w:val="22"/>
          <w:szCs w:val="22"/>
        </w:rPr>
        <w:t>American Intellectual Property Law Association</w:t>
      </w:r>
      <w:r>
        <w:rPr>
          <w:rFonts w:cs="Times New Roman"/>
          <w:sz w:val="22"/>
          <w:szCs w:val="22"/>
        </w:rPr>
        <w:t xml:space="preserve"> </w:t>
      </w:r>
      <w:r w:rsidRPr="00F54E89">
        <w:rPr>
          <w:rFonts w:cs="Times New Roman"/>
          <w:sz w:val="22"/>
          <w:szCs w:val="22"/>
        </w:rPr>
        <w:t>(“The Court’s decisions have created significant uncertainty about what is eligible for patenting in the United States.”)</w:t>
      </w:r>
    </w:p>
    <w:p w14:paraId="4E45F02E" w14:textId="77777777" w:rsidR="00DD5BCD" w:rsidRPr="00F54E89" w:rsidRDefault="00DD5BCD" w:rsidP="00DD5BCD">
      <w:pPr>
        <w:pStyle w:val="FootnoteText"/>
        <w:rPr>
          <w:rFonts w:cs="Times New Roman"/>
          <w:sz w:val="22"/>
          <w:szCs w:val="22"/>
        </w:rPr>
      </w:pPr>
    </w:p>
    <w:p w14:paraId="6C1BE841"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Scott Partridge, Immediate Past Chair, Intellectual Property Law Section</w:t>
      </w:r>
    </w:p>
    <w:p w14:paraId="05A9F3C3" w14:textId="77777777" w:rsidR="00DD5BCD" w:rsidRPr="00F54E89" w:rsidRDefault="00DD5BCD" w:rsidP="00DD5BCD">
      <w:pPr>
        <w:pStyle w:val="FootnoteText"/>
        <w:rPr>
          <w:rFonts w:cs="Times New Roman"/>
          <w:sz w:val="22"/>
          <w:szCs w:val="22"/>
        </w:rPr>
      </w:pPr>
      <w:r w:rsidRPr="00F54E89">
        <w:rPr>
          <w:rFonts w:cs="Times New Roman"/>
          <w:sz w:val="22"/>
          <w:szCs w:val="22"/>
        </w:rPr>
        <w:lastRenderedPageBreak/>
        <w:t>American Bar Association (The eligibility standard has created “ambiguity, unpredictability and uncertainty.”)</w:t>
      </w:r>
    </w:p>
    <w:p w14:paraId="63F933EA" w14:textId="77777777" w:rsidR="00DD5BCD" w:rsidRPr="00F54E89" w:rsidRDefault="00DD5BCD" w:rsidP="00DD5BCD">
      <w:pPr>
        <w:pStyle w:val="FootnoteText"/>
        <w:rPr>
          <w:rFonts w:cs="Times New Roman"/>
          <w:sz w:val="22"/>
          <w:szCs w:val="22"/>
        </w:rPr>
      </w:pPr>
    </w:p>
    <w:p w14:paraId="6A497B10"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Henry Hadad, President, Intellectual Property Owners Association (The law has led to “great uncertainty and confusion.”)</w:t>
      </w:r>
    </w:p>
    <w:p w14:paraId="2002F399" w14:textId="77777777" w:rsidR="00DD5BCD" w:rsidRPr="00F54E89" w:rsidRDefault="00DD5BCD" w:rsidP="00DD5BCD">
      <w:pPr>
        <w:pStyle w:val="FootnoteText"/>
        <w:rPr>
          <w:rFonts w:cs="Times New Roman"/>
          <w:sz w:val="22"/>
          <w:szCs w:val="22"/>
        </w:rPr>
      </w:pPr>
    </w:p>
    <w:p w14:paraId="2C4805CE"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Paul Morinville, President U.S. Inventor (</w:t>
      </w:r>
      <w:r>
        <w:rPr>
          <w:rFonts w:cs="Times New Roman"/>
          <w:sz w:val="22"/>
          <w:szCs w:val="22"/>
        </w:rPr>
        <w:t xml:space="preserve">noting that </w:t>
      </w:r>
      <w:r w:rsidRPr="00F54E89">
        <w:rPr>
          <w:rFonts w:cs="Times New Roman"/>
          <w:i/>
          <w:iCs/>
          <w:sz w:val="22"/>
          <w:szCs w:val="22"/>
        </w:rPr>
        <w:t>Alice</w:t>
      </w:r>
      <w:r w:rsidRPr="00F54E89">
        <w:rPr>
          <w:rFonts w:cs="Times New Roman"/>
          <w:sz w:val="22"/>
          <w:szCs w:val="22"/>
        </w:rPr>
        <w:t xml:space="preserve"> “threw the definition of what is patentable subject matter under 35 USC 101 into chaos”)</w:t>
      </w:r>
    </w:p>
    <w:p w14:paraId="621385C7" w14:textId="77777777" w:rsidR="00DD5BCD" w:rsidRPr="00F54E89" w:rsidRDefault="00DD5BCD" w:rsidP="00DD5BCD">
      <w:pPr>
        <w:pStyle w:val="FootnoteText"/>
        <w:rPr>
          <w:rFonts w:cs="Times New Roman"/>
          <w:sz w:val="22"/>
          <w:szCs w:val="22"/>
        </w:rPr>
      </w:pPr>
    </w:p>
    <w:p w14:paraId="22000A3F"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Phil Johnson, Chair, Steering Committee Coalition for 21st Century Patent Reform (“No one in the IP profession can now predict with certainty whether any given invention that relies in any way upon a law of nature, natural phenomenon, or abstract idea, or utilizes a naturally derived material, will be ultimately held patent eligible.”)</w:t>
      </w:r>
    </w:p>
    <w:p w14:paraId="7695DC63" w14:textId="77777777" w:rsidR="00DD5BCD" w:rsidRPr="00F54E89" w:rsidRDefault="00DD5BCD" w:rsidP="00DD5BCD">
      <w:pPr>
        <w:pStyle w:val="FootnoteText"/>
        <w:rPr>
          <w:rFonts w:cs="Times New Roman"/>
          <w:sz w:val="22"/>
          <w:szCs w:val="22"/>
        </w:rPr>
      </w:pPr>
    </w:p>
    <w:p w14:paraId="6E34C96F"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Jeff Birchak, General Counsel, Vice President of Intellectual Property, and Secretary, Fallbrook Technologies, On behalf of Innovation Alliance (Section 101 jurisprudence “has led to uncertainty, unpredictability, and hindered innovation.”)</w:t>
      </w:r>
    </w:p>
    <w:p w14:paraId="7A2090BF" w14:textId="77777777" w:rsidR="00DD5BCD" w:rsidRPr="00F54E89" w:rsidRDefault="00DD5BCD" w:rsidP="00DD5BCD">
      <w:pPr>
        <w:pStyle w:val="FootnoteText"/>
        <w:rPr>
          <w:rFonts w:cs="Times New Roman"/>
          <w:sz w:val="22"/>
          <w:szCs w:val="22"/>
        </w:rPr>
      </w:pPr>
    </w:p>
    <w:p w14:paraId="4E5DDF1B"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Hans Sauer, Deputy General Counsel for Intellectual Property, Biotechnology Innovation Organization (There is “continuing uncertainty, tension in the caselaw, and inconsistent or unpredictable outcomes.”)</w:t>
      </w:r>
    </w:p>
    <w:p w14:paraId="0244E20F" w14:textId="77777777" w:rsidR="00DD5BCD" w:rsidRPr="00F54E89" w:rsidRDefault="00DD5BCD" w:rsidP="00DD5BCD">
      <w:pPr>
        <w:pStyle w:val="FootnoteText"/>
        <w:rPr>
          <w:rFonts w:cs="Times New Roman"/>
          <w:sz w:val="22"/>
          <w:szCs w:val="22"/>
        </w:rPr>
      </w:pPr>
    </w:p>
    <w:p w14:paraId="27A1055C"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Ms. Natalie M. Derzko, Of Counsel, Covington &amp; Burling LLP, On behalf of Pharmaceutical Research and Manufacturers of America (“The uncertainty of the current framework, as interpreted by the courts, makes it hard for an inventor to know which inventions will be patentable or not.”)</w:t>
      </w:r>
    </w:p>
    <w:p w14:paraId="67575ED5" w14:textId="77777777" w:rsidR="00DD5BCD" w:rsidRPr="00F54E89" w:rsidRDefault="00DD5BCD" w:rsidP="00DD5BCD">
      <w:pPr>
        <w:pStyle w:val="FootnoteText"/>
        <w:rPr>
          <w:rFonts w:cs="Times New Roman"/>
          <w:sz w:val="22"/>
          <w:szCs w:val="22"/>
        </w:rPr>
      </w:pPr>
    </w:p>
    <w:p w14:paraId="1DDDFC01"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Rick Brandon, Associate General Counsel, The University of Michigan, On behalf of Association of American Universities and the Association of University Technology Managers (“In recent years, our federal courts have made the determination of what is or is not patentable an increasingly murky process.”)</w:t>
      </w:r>
    </w:p>
    <w:p w14:paraId="6819780B" w14:textId="77777777" w:rsidR="00DD5BCD" w:rsidRPr="00F54E89" w:rsidRDefault="00DD5BCD" w:rsidP="00DD5BCD">
      <w:pPr>
        <w:pStyle w:val="FootnoteText"/>
        <w:rPr>
          <w:rFonts w:cs="Times New Roman"/>
          <w:sz w:val="22"/>
          <w:szCs w:val="22"/>
        </w:rPr>
      </w:pPr>
    </w:p>
    <w:p w14:paraId="341F3B5A"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Manny Schecter, Chief Patent Counsel, IBM (“[T]he current lack of clarity created by judicially imposed patent eligibility standards” and the “inherent ambiguity of these standards has made it more difficult to obtain and enforce patents” and “do not provide the certainty needed to enable modern business to operate effectively.”)</w:t>
      </w:r>
    </w:p>
    <w:p w14:paraId="2D34C11D" w14:textId="77777777" w:rsidR="00DD5BCD" w:rsidRPr="00F54E89" w:rsidRDefault="00DD5BCD" w:rsidP="00DD5BCD">
      <w:pPr>
        <w:pStyle w:val="FootnoteText"/>
        <w:rPr>
          <w:rFonts w:cs="Times New Roman"/>
          <w:sz w:val="22"/>
          <w:szCs w:val="22"/>
        </w:rPr>
      </w:pPr>
    </w:p>
    <w:p w14:paraId="5BE15212"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Ms. Laurie Self, Senior Vice-President and Counsel, Government Affairs, Qualcomm (“The Supreme Court’s recent section 101 jurisprudence has left the scope of patent eligible subject matter unsettled and caused tremendous confusion in the courts, at USPTO, and among innovators.”)</w:t>
      </w:r>
    </w:p>
    <w:p w14:paraId="6E1662E3" w14:textId="77777777" w:rsidR="00DD5BCD" w:rsidRPr="00F54E89" w:rsidRDefault="00DD5BCD" w:rsidP="00DD5BCD">
      <w:pPr>
        <w:pStyle w:val="FootnoteText"/>
        <w:rPr>
          <w:rFonts w:cs="Times New Roman"/>
          <w:sz w:val="22"/>
          <w:szCs w:val="22"/>
        </w:rPr>
      </w:pPr>
    </w:p>
    <w:p w14:paraId="6BDCA34F"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Byron Holz, Senior Intellectual Property Rights Licensing Counsel, Nokia (“The uncertainty surrounding patentability of emerging technologies, including artificial intelligence (AI) and other software-based innovations, hampers investment and risks America’s global competitiveness in these fields.”)</w:t>
      </w:r>
    </w:p>
    <w:p w14:paraId="0A720FDA" w14:textId="77777777" w:rsidR="00DD5BCD" w:rsidRPr="00F54E89" w:rsidRDefault="00DD5BCD" w:rsidP="00DD5BCD">
      <w:pPr>
        <w:pStyle w:val="FootnoteText"/>
        <w:rPr>
          <w:rFonts w:cs="Times New Roman"/>
          <w:sz w:val="22"/>
          <w:szCs w:val="22"/>
        </w:rPr>
      </w:pPr>
    </w:p>
    <w:p w14:paraId="54D6E54D"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Ms. Kim Chotkowski, Vice President, Head of Licensing Strategy and Operations, InterDigital (“In view of the current lack of clarity surrounding patent eligibility . . . a pillar of our nation’s economic success, the patent system, along with the Federal Courts, have been bogged down, with needless challenges and increased uncertainty.”)</w:t>
      </w:r>
    </w:p>
    <w:p w14:paraId="5327A346" w14:textId="77777777" w:rsidR="00DD5BCD" w:rsidRPr="00F54E89" w:rsidRDefault="00DD5BCD" w:rsidP="00DD5BCD">
      <w:pPr>
        <w:pStyle w:val="FootnoteText"/>
        <w:rPr>
          <w:rFonts w:cs="Times New Roman"/>
          <w:sz w:val="22"/>
          <w:szCs w:val="22"/>
        </w:rPr>
      </w:pPr>
    </w:p>
    <w:p w14:paraId="32AF8847" w14:textId="77777777" w:rsidR="00DD5BCD" w:rsidRPr="00F54E89" w:rsidRDefault="00DD5BCD" w:rsidP="00DD5BCD">
      <w:pPr>
        <w:pStyle w:val="FootnoteText"/>
        <w:rPr>
          <w:rFonts w:cs="Times New Roman"/>
          <w:sz w:val="22"/>
          <w:szCs w:val="22"/>
        </w:rPr>
      </w:pPr>
      <w:r w:rsidRPr="00F54E89">
        <w:rPr>
          <w:rFonts w:cs="Times New Roman"/>
          <w:sz w:val="22"/>
          <w:szCs w:val="22"/>
        </w:rPr>
        <w:lastRenderedPageBreak/>
        <w:t>Statement of Ms. Laurie Hill, Vice President Intellectual Property, Genentech (“The present uncertainty surrounding Section 101 threatens to disrupt development of a wide range of important medicines, diagnostics, treatments, and other innovations that benefit society.”)</w:t>
      </w:r>
    </w:p>
    <w:p w14:paraId="130BC916" w14:textId="77777777" w:rsidR="00DD5BCD" w:rsidRPr="00F54E89" w:rsidRDefault="00DD5BCD" w:rsidP="00DD5BCD">
      <w:pPr>
        <w:pStyle w:val="FootnoteText"/>
        <w:rPr>
          <w:rFonts w:cs="Times New Roman"/>
          <w:sz w:val="22"/>
          <w:szCs w:val="22"/>
        </w:rPr>
      </w:pPr>
    </w:p>
    <w:p w14:paraId="462E1ACC"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Gonzalo Merino, Vice President and Chief Intellectual Property Counsel, Regeneron Pharmaceuticals (“Even if we are successful in overcoming” rejections in the patent office, “we would still face absolute uncertainty” in court.)</w:t>
      </w:r>
    </w:p>
    <w:p w14:paraId="71C6DAB9" w14:textId="77777777" w:rsidR="00DD5BCD" w:rsidRPr="00F54E89" w:rsidRDefault="00DD5BCD" w:rsidP="00DD5BCD">
      <w:pPr>
        <w:pStyle w:val="FootnoteText"/>
        <w:rPr>
          <w:rFonts w:cs="Times New Roman"/>
          <w:sz w:val="22"/>
          <w:szCs w:val="22"/>
        </w:rPr>
      </w:pPr>
    </w:p>
    <w:p w14:paraId="74C1EA82"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Peter O'Neill, Executive Director, Cleveland Clinic Innovations (“In recent years, decisions from the federal courts have cast a cloud of uncertainty over our work in the field of diagnostic tests and life sciences.”)</w:t>
      </w:r>
    </w:p>
    <w:p w14:paraId="4E4E6E71" w14:textId="77777777" w:rsidR="00DD5BCD" w:rsidRPr="00F54E89" w:rsidRDefault="00DD5BCD" w:rsidP="00DD5BCD">
      <w:pPr>
        <w:pStyle w:val="FootnoteText"/>
        <w:rPr>
          <w:rFonts w:cs="Times New Roman"/>
          <w:sz w:val="22"/>
          <w:szCs w:val="22"/>
        </w:rPr>
      </w:pPr>
    </w:p>
    <w:p w14:paraId="31EFD093"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Dr. David Spetzler, President and Chief Scientific Officer, Caris Life Sciences (“Under the current state of the law, whether an invention is or is not patentable has become murky. This uncertainty deters the substantial investment necessary to develop new healthcare technologies.”)</w:t>
      </w:r>
    </w:p>
    <w:p w14:paraId="582163FA" w14:textId="77777777" w:rsidR="00DD5BCD" w:rsidRPr="00F54E89" w:rsidRDefault="00DD5BCD" w:rsidP="00DD5BCD">
      <w:pPr>
        <w:pStyle w:val="FootnoteText"/>
        <w:rPr>
          <w:rFonts w:cs="Times New Roman"/>
          <w:sz w:val="22"/>
          <w:szCs w:val="22"/>
        </w:rPr>
      </w:pPr>
    </w:p>
    <w:p w14:paraId="14056017"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Michael Blankstein, Senior Vice President and Deputy General Counsel, Patents and Licensing, Scientific Games (“The status quo on patent eligibility is unacceptable because it . . . leads to unpredictable outcomes.”)</w:t>
      </w:r>
    </w:p>
    <w:p w14:paraId="2D4405E8" w14:textId="77777777" w:rsidR="00DD5BCD" w:rsidRPr="00F54E89" w:rsidRDefault="00DD5BCD" w:rsidP="00DD5BCD">
      <w:pPr>
        <w:pStyle w:val="FootnoteText"/>
        <w:rPr>
          <w:rFonts w:cs="Times New Roman"/>
          <w:sz w:val="22"/>
          <w:szCs w:val="22"/>
        </w:rPr>
      </w:pPr>
    </w:p>
    <w:p w14:paraId="25A36DEC"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Corey Salsberg, Vice President, Global Head IP Affairs, Novartis (We agree that “the patent eligibility status quo [i]s ‘uncertain,’ ‘unpredictable,’ and ‘a mess’ . . . . [T]he vagueness of the Supreme Court’s eligibility framework, and its lack of guidance as to  how  to  apply  it, has made it exceedingly difficult for us to predict whether even today’s innovations are patent-eligible.”)</w:t>
      </w:r>
    </w:p>
    <w:p w14:paraId="09BCCC02" w14:textId="77777777" w:rsidR="00DD5BCD" w:rsidRPr="00F54E89" w:rsidRDefault="00DD5BCD" w:rsidP="00DD5BCD">
      <w:pPr>
        <w:pStyle w:val="FootnoteText"/>
        <w:rPr>
          <w:rFonts w:cs="Times New Roman"/>
          <w:sz w:val="22"/>
          <w:szCs w:val="22"/>
        </w:rPr>
      </w:pPr>
    </w:p>
    <w:p w14:paraId="2AEB10F7"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Nicolas Dupont CEO and Executive Chairman Cyborg Inc. (“A second consequence results from the inability to predict patent eligibility.”)</w:t>
      </w:r>
    </w:p>
    <w:p w14:paraId="16F69BF7" w14:textId="77777777" w:rsidR="00DD5BCD" w:rsidRPr="00F54E89" w:rsidRDefault="00DD5BCD" w:rsidP="00DD5BCD">
      <w:pPr>
        <w:pStyle w:val="FootnoteText"/>
        <w:rPr>
          <w:rFonts w:cs="Times New Roman"/>
          <w:sz w:val="22"/>
          <w:szCs w:val="22"/>
        </w:rPr>
      </w:pPr>
    </w:p>
    <w:p w14:paraId="0DCA0A1B" w14:textId="77777777" w:rsidR="00DD5BCD" w:rsidRDefault="00DD5BCD" w:rsidP="00DD5BCD">
      <w:pPr>
        <w:pStyle w:val="FootnoteText"/>
        <w:rPr>
          <w:rFonts w:cs="Times New Roman"/>
          <w:sz w:val="22"/>
          <w:szCs w:val="22"/>
        </w:rPr>
      </w:pPr>
      <w:r w:rsidRPr="00F54E89">
        <w:rPr>
          <w:rFonts w:cs="Times New Roman"/>
          <w:sz w:val="22"/>
          <w:szCs w:val="22"/>
        </w:rPr>
        <w:t>Statement of Mr. Robert Deberadine, Chief Intellectual Property Counsel, Johnson &amp; Johnson (“The patent system in the United States today is anything but predictable . . . . [T]he current state of the law surrounding Section 101 creates confusion.”)</w:t>
      </w:r>
    </w:p>
    <w:p w14:paraId="1AF26A34" w14:textId="77777777" w:rsidR="00DD5BCD" w:rsidRDefault="00DD5BCD" w:rsidP="00DD5BCD">
      <w:pPr>
        <w:pStyle w:val="FootnoteText"/>
        <w:rPr>
          <w:rFonts w:cs="Times New Roman"/>
          <w:sz w:val="22"/>
          <w:szCs w:val="22"/>
        </w:rPr>
      </w:pPr>
    </w:p>
    <w:p w14:paraId="60E10FCD" w14:textId="77777777" w:rsidR="00DD5BCD" w:rsidRPr="00F54E89" w:rsidRDefault="00DD5BCD" w:rsidP="00DD5BCD">
      <w:pPr>
        <w:pStyle w:val="FootnoteText"/>
        <w:rPr>
          <w:rFonts w:cs="Times New Roman"/>
          <w:sz w:val="22"/>
          <w:szCs w:val="22"/>
        </w:rPr>
      </w:pPr>
      <w:r>
        <w:rPr>
          <w:rFonts w:cs="Times New Roman"/>
          <w:sz w:val="22"/>
          <w:szCs w:val="22"/>
        </w:rPr>
        <w:t xml:space="preserve">Written </w:t>
      </w:r>
      <w:r w:rsidRPr="004D50A1">
        <w:rPr>
          <w:rFonts w:cs="Times New Roman"/>
          <w:sz w:val="22"/>
          <w:szCs w:val="22"/>
        </w:rPr>
        <w:t>Statement of Mr. Steven P. Caltrider, Vice President and General Patent Counsel, Eli Lilly and Company (“Patients, particularly those helped by the medical diagnostic industry, as well as inventors and employers are waiting for Congress to clarify and settle the law that has failed, unfortunately, to provide a sufficient degree of predictability and certainty to the threshold question of what subject matter is eligible for a patent.”)</w:t>
      </w:r>
    </w:p>
    <w:p w14:paraId="35280D2E" w14:textId="77777777" w:rsidR="00DD5BCD" w:rsidRPr="00F54E89" w:rsidRDefault="00DD5BCD" w:rsidP="00DD5BCD">
      <w:pPr>
        <w:pStyle w:val="FootnoteText"/>
        <w:rPr>
          <w:rFonts w:cs="Times New Roman"/>
          <w:sz w:val="22"/>
          <w:szCs w:val="22"/>
        </w:rPr>
      </w:pPr>
    </w:p>
    <w:p w14:paraId="5C8E7227" w14:textId="77777777" w:rsidR="00DD5BCD" w:rsidRPr="00F54E89" w:rsidRDefault="00DD5BCD" w:rsidP="00DD5BCD">
      <w:pPr>
        <w:pStyle w:val="FootnoteText"/>
        <w:rPr>
          <w:rFonts w:cs="Times New Roman"/>
          <w:b/>
          <w:bCs/>
          <w:sz w:val="22"/>
          <w:szCs w:val="22"/>
          <w:u w:val="single"/>
        </w:rPr>
      </w:pPr>
      <w:r w:rsidRPr="00F54E89">
        <w:rPr>
          <w:rFonts w:cs="Times New Roman"/>
          <w:b/>
          <w:bCs/>
          <w:sz w:val="22"/>
          <w:szCs w:val="22"/>
          <w:u w:val="single"/>
        </w:rPr>
        <w:t>Witnesses opposing reforms:</w:t>
      </w:r>
    </w:p>
    <w:p w14:paraId="5FBE3734" w14:textId="77777777" w:rsidR="00DD5BCD" w:rsidRPr="00F54E89" w:rsidRDefault="00DD5BCD" w:rsidP="00DD5BCD">
      <w:pPr>
        <w:pStyle w:val="FootnoteText"/>
        <w:rPr>
          <w:rFonts w:cs="Times New Roman"/>
          <w:sz w:val="22"/>
          <w:szCs w:val="22"/>
        </w:rPr>
      </w:pPr>
    </w:p>
    <w:p w14:paraId="1F58BB75"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Professor Mark A. Lemley, William H. Neukom Professor of Law, Director, Program in Law, Science &amp; Technology, Stanford University School of Law (“The law of patentable subject matter is a mess . . . . The Federal Circuit’s application of 101 law is inconsistent and uncertain</w:t>
      </w:r>
      <w:r>
        <w:rPr>
          <w:rFonts w:cs="Times New Roman"/>
          <w:sz w:val="22"/>
          <w:szCs w:val="22"/>
        </w:rPr>
        <w:t xml:space="preserve">. </w:t>
      </w:r>
      <w:r w:rsidRPr="00F54E89">
        <w:rPr>
          <w:rFonts w:cs="Times New Roman"/>
          <w:sz w:val="22"/>
          <w:szCs w:val="22"/>
        </w:rPr>
        <w:t xml:space="preserve">Unfortunately, courts have found it hard to apply the </w:t>
      </w:r>
      <w:r w:rsidRPr="00F54E89">
        <w:rPr>
          <w:rFonts w:cs="Times New Roman"/>
          <w:i/>
          <w:iCs/>
          <w:sz w:val="22"/>
          <w:szCs w:val="22"/>
        </w:rPr>
        <w:t>Alice</w:t>
      </w:r>
      <w:r w:rsidRPr="00F54E89">
        <w:rPr>
          <w:rFonts w:cs="Times New Roman"/>
          <w:sz w:val="22"/>
          <w:szCs w:val="22"/>
        </w:rPr>
        <w:t xml:space="preserve"> test.”)</w:t>
      </w:r>
    </w:p>
    <w:p w14:paraId="2A1C2AC2" w14:textId="77777777" w:rsidR="00DD5BCD" w:rsidRPr="00F54E89" w:rsidRDefault="00DD5BCD" w:rsidP="00DD5BCD">
      <w:pPr>
        <w:pStyle w:val="FootnoteText"/>
        <w:rPr>
          <w:rFonts w:cs="Times New Roman"/>
          <w:sz w:val="22"/>
          <w:szCs w:val="22"/>
        </w:rPr>
      </w:pPr>
    </w:p>
    <w:p w14:paraId="15A1113F"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Professor Joshua D. Sarnoff, Professor of Law, DePaul University (Acknowledging the “current uncertainty in eligibility doctrine,” but opposing reforms)</w:t>
      </w:r>
    </w:p>
    <w:p w14:paraId="5F1F5D46" w14:textId="77777777" w:rsidR="00DD5BCD" w:rsidRPr="00F54E89" w:rsidRDefault="00DD5BCD" w:rsidP="00DD5BCD">
      <w:pPr>
        <w:pStyle w:val="FootnoteText"/>
        <w:rPr>
          <w:rFonts w:cs="Times New Roman"/>
          <w:sz w:val="22"/>
          <w:szCs w:val="22"/>
        </w:rPr>
      </w:pPr>
    </w:p>
    <w:p w14:paraId="514A39E5"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Mr. David Jones, Executive Director, High Tech Inventors Alliance (“[W]e recognize that [the current eligibility test] may present challenges for segments of stakeholders in other sectors [beyond software]. It is not our intent to deny these difficulties . . . .” but “HTIA strongly favors retaining the </w:t>
      </w:r>
      <w:r w:rsidRPr="00F54E89">
        <w:rPr>
          <w:rFonts w:cs="Times New Roman"/>
          <w:sz w:val="22"/>
          <w:szCs w:val="22"/>
        </w:rPr>
        <w:lastRenderedPageBreak/>
        <w:t>current eligibility test and allowing the courts to continue to refine its application through a case-by-case common-law process.”)</w:t>
      </w:r>
    </w:p>
    <w:p w14:paraId="279BDC83" w14:textId="77777777" w:rsidR="00DD5BCD" w:rsidRPr="00F54E89" w:rsidRDefault="00DD5BCD" w:rsidP="00DD5BCD">
      <w:pPr>
        <w:pStyle w:val="FootnoteText"/>
        <w:rPr>
          <w:rFonts w:cs="Times New Roman"/>
          <w:sz w:val="22"/>
          <w:szCs w:val="22"/>
        </w:rPr>
      </w:pPr>
    </w:p>
    <w:p w14:paraId="21674AA9"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Dr. William G. Jenks, Principal, Jenks IP Law, On behalf of Internet Association (Supporting USPTO’s 2019 Eligibility Guidance as a “promising start that, with modification, will help PTO examiners do their job with more uniformity,” and agreeing that the resulting “uniformity and accuracy in PTO decisions will be good for the system overall.”) </w:t>
      </w:r>
    </w:p>
    <w:p w14:paraId="12A7EA4C" w14:textId="77777777" w:rsidR="00DD5BCD" w:rsidRPr="00F54E89" w:rsidRDefault="00DD5BCD" w:rsidP="00DD5BCD">
      <w:pPr>
        <w:pStyle w:val="FootnoteText"/>
        <w:rPr>
          <w:rFonts w:cs="Times New Roman"/>
          <w:sz w:val="22"/>
          <w:szCs w:val="22"/>
        </w:rPr>
      </w:pPr>
    </w:p>
    <w:p w14:paraId="4ED4223A" w14:textId="77777777" w:rsidR="00DD5BCD" w:rsidRPr="00F54E89" w:rsidRDefault="00DD5BCD" w:rsidP="00DD5BCD">
      <w:pPr>
        <w:pStyle w:val="FootnoteText"/>
        <w:rPr>
          <w:rFonts w:cs="Times New Roman"/>
          <w:sz w:val="22"/>
          <w:szCs w:val="22"/>
        </w:rPr>
      </w:pPr>
      <w:r w:rsidRPr="00F54E89">
        <w:rPr>
          <w:rFonts w:cs="Times New Roman"/>
          <w:sz w:val="22"/>
          <w:szCs w:val="22"/>
        </w:rPr>
        <w:t>Statement of Mr. Christopher Mohr, Vice President for Intellectual Property and General Counsel, Software and Information Industry Association (“[W]e acknowledge the criticisms of the current approach to patent eligibility,” but “the benefits of Alice have outweighed any negative policy impact in the software and information industries.”)</w:t>
      </w:r>
    </w:p>
    <w:p w14:paraId="3B31E2E3" w14:textId="77777777" w:rsidR="00DD5BCD" w:rsidRPr="00F54E89" w:rsidRDefault="00DD5BCD" w:rsidP="00DD5BCD">
      <w:pPr>
        <w:pStyle w:val="FootnoteText"/>
        <w:rPr>
          <w:rFonts w:cs="Times New Roman"/>
          <w:sz w:val="22"/>
          <w:szCs w:val="22"/>
        </w:rPr>
      </w:pPr>
    </w:p>
    <w:p w14:paraId="03D9F3D0" w14:textId="77777777" w:rsidR="00DD5BCD" w:rsidRPr="00F54E89" w:rsidRDefault="00DD5BCD" w:rsidP="00DD5BCD">
      <w:pPr>
        <w:rPr>
          <w:rFonts w:cs="Times New Roman"/>
          <w:sz w:val="22"/>
          <w:szCs w:val="22"/>
        </w:rPr>
      </w:pPr>
      <w:r w:rsidRPr="00F54E89">
        <w:rPr>
          <w:rFonts w:cs="Times New Roman"/>
          <w:sz w:val="22"/>
          <w:szCs w:val="22"/>
        </w:rPr>
        <w:t xml:space="preserve">Responses to Questions for the Record of Mr. Jeff Francer, </w:t>
      </w:r>
      <w:r w:rsidRPr="00F54E89">
        <w:rPr>
          <w:rFonts w:eastAsia="Times New Roman" w:cs="Times New Roman"/>
          <w:sz w:val="22"/>
          <w:szCs w:val="22"/>
        </w:rPr>
        <w:t xml:space="preserve">General Counsel, </w:t>
      </w:r>
      <w:r w:rsidRPr="00AA0B76">
        <w:rPr>
          <w:rFonts w:eastAsia="Times New Roman" w:cs="Times New Roman"/>
          <w:sz w:val="22"/>
          <w:szCs w:val="22"/>
        </w:rPr>
        <w:t>Association for Accessible Medicine</w:t>
      </w:r>
      <w:r w:rsidRPr="00F54E89">
        <w:rPr>
          <w:rFonts w:eastAsia="Times New Roman" w:cs="Times New Roman"/>
          <w:sz w:val="22"/>
          <w:szCs w:val="22"/>
        </w:rPr>
        <w:t>s (“</w:t>
      </w:r>
      <w:r w:rsidRPr="00F54E89">
        <w:rPr>
          <w:rFonts w:cs="Times New Roman"/>
          <w:sz w:val="22"/>
          <w:szCs w:val="22"/>
        </w:rPr>
        <w:t>[The judicial] exceptions do not need to be maintained unmodified, as  there may be some need to clarify their scope.”)</w:t>
      </w:r>
    </w:p>
    <w:p w14:paraId="5B6B21C4"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Mr. Sean Reilly, Senior Vice President and Associate General Counsel, The Clearing House Payments Company (“We do recognize . . . that there are very real and valid concerns related to Section 101 in certain specific sectors (e.g. medical diagnostics).”) </w:t>
      </w:r>
    </w:p>
    <w:p w14:paraId="37FB46AD" w14:textId="77777777" w:rsidR="00DD5BCD" w:rsidRPr="00F54E89" w:rsidRDefault="00DD5BCD" w:rsidP="00DD5BCD">
      <w:pPr>
        <w:pStyle w:val="FootnoteText"/>
        <w:rPr>
          <w:rFonts w:cs="Times New Roman"/>
          <w:sz w:val="22"/>
          <w:szCs w:val="22"/>
        </w:rPr>
      </w:pPr>
    </w:p>
    <w:p w14:paraId="3DD338F5" w14:textId="77777777" w:rsidR="00DD5BCD" w:rsidRPr="00F54E89" w:rsidRDefault="00DD5BCD" w:rsidP="00DD5BCD">
      <w:pPr>
        <w:pStyle w:val="FootnoteText"/>
        <w:rPr>
          <w:rFonts w:cs="Times New Roman"/>
          <w:sz w:val="22"/>
          <w:szCs w:val="22"/>
        </w:rPr>
      </w:pPr>
      <w:r w:rsidRPr="00F54E89">
        <w:rPr>
          <w:rFonts w:cs="Times New Roman"/>
          <w:sz w:val="22"/>
          <w:szCs w:val="22"/>
        </w:rPr>
        <w:t xml:space="preserve">Statement of Mr. Sean George, Chief Executive Officer, Invitae (Supporting the current judicially-created standards, but stating that if Congress acts, “the right thing to do is to start by codifying the existing case law on patent subject matter eligibility and </w:t>
      </w:r>
      <w:r w:rsidRPr="00F54E89">
        <w:rPr>
          <w:rFonts w:cs="Times New Roman"/>
          <w:i/>
          <w:iCs/>
          <w:sz w:val="22"/>
          <w:szCs w:val="22"/>
        </w:rPr>
        <w:t>working to improve their clarity</w:t>
      </w:r>
      <w:r w:rsidRPr="00F54E89">
        <w:rPr>
          <w:rFonts w:cs="Times New Roman"/>
          <w:sz w:val="22"/>
          <w:szCs w:val="22"/>
        </w:rPr>
        <w:t>.”) (emphasis added)</w:t>
      </w:r>
    </w:p>
    <w:p w14:paraId="1CD9EF81" w14:textId="77777777" w:rsidR="00F50ACD" w:rsidRDefault="00000000"/>
    <w:sectPr w:rsidR="00F50ACD" w:rsidSect="00100E56">
      <w:headerReference w:type="default" r:id="rId4"/>
      <w:footerReference w:type="even"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884154"/>
      <w:docPartObj>
        <w:docPartGallery w:val="Page Numbers (Bottom of Page)"/>
        <w:docPartUnique/>
      </w:docPartObj>
    </w:sdtPr>
    <w:sdtContent>
      <w:p w14:paraId="75849EBE" w14:textId="77777777" w:rsidR="00437A2E" w:rsidRDefault="00000000" w:rsidP="00437A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AD628" w14:textId="77777777" w:rsidR="00437A2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602373"/>
      <w:docPartObj>
        <w:docPartGallery w:val="Page Numbers (Bottom of Page)"/>
        <w:docPartUnique/>
      </w:docPartObj>
    </w:sdtPr>
    <w:sdtContent>
      <w:p w14:paraId="5DEF5675" w14:textId="77777777" w:rsidR="00437A2E" w:rsidRDefault="00000000" w:rsidP="00437A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1D4B2DA" w14:textId="77777777" w:rsidR="00437A2E" w:rsidRDefault="00000000">
    <w:pPr>
      <w:pStyle w:val="Footer"/>
    </w:pPr>
  </w:p>
  <w:p w14:paraId="17DE21B3" w14:textId="77777777" w:rsidR="00437A2E" w:rsidRDefault="00000000" w:rsidP="000C747A">
    <w:pPr>
      <w:pStyle w:val="Footer"/>
    </w:pPr>
    <w:r>
      <w:rPr>
        <w:sz w:val="14"/>
      </w:rPr>
      <w:fldChar w:fldCharType="begin"/>
    </w:r>
    <w:r>
      <w:rPr>
        <w:sz w:val="14"/>
      </w:rPr>
      <w:instrText xml:space="preserve"> </w:instrText>
    </w:r>
    <w:r w:rsidRPr="000C747A">
      <w:rPr>
        <w:sz w:val="14"/>
      </w:rPr>
      <w:instrText>IF "</w:instrText>
    </w:r>
    <w:r w:rsidRPr="000C747A">
      <w:rPr>
        <w:sz w:val="14"/>
      </w:rPr>
      <w:fldChar w:fldCharType="begin"/>
    </w:r>
    <w:r w:rsidRPr="000C747A">
      <w:rPr>
        <w:sz w:val="14"/>
      </w:rPr>
      <w:instrText xml:space="preserve"> DOCVARIABLE "SWDocIDLocation" </w:instrText>
    </w:r>
    <w:r w:rsidRPr="000C747A">
      <w:rPr>
        <w:sz w:val="14"/>
      </w:rPr>
      <w:fldChar w:fldCharType="separate"/>
    </w:r>
    <w:r>
      <w:rPr>
        <w:sz w:val="14"/>
      </w:rPr>
      <w:instrText>1</w:instrText>
    </w:r>
    <w:r w:rsidRPr="000C747A">
      <w:rPr>
        <w:sz w:val="14"/>
      </w:rPr>
      <w:fldChar w:fldCharType="end"/>
    </w:r>
    <w:r w:rsidRPr="000C747A">
      <w:rPr>
        <w:sz w:val="14"/>
      </w:rPr>
      <w:instrText>" = "1" "</w:instrText>
    </w:r>
    <w:r w:rsidRPr="000C747A">
      <w:rPr>
        <w:sz w:val="14"/>
      </w:rPr>
      <w:fldChar w:fldCharType="begin"/>
    </w:r>
    <w:r w:rsidRPr="000C747A">
      <w:rPr>
        <w:sz w:val="14"/>
      </w:rPr>
      <w:instrText xml:space="preserve"> DOCPROPERTY "SWDocID" </w:instrText>
    </w:r>
    <w:r w:rsidRPr="000C747A">
      <w:rPr>
        <w:sz w:val="14"/>
      </w:rPr>
      <w:fldChar w:fldCharType="separate"/>
    </w:r>
    <w:r>
      <w:rPr>
        <w:sz w:val="14"/>
      </w:rPr>
      <w:instrText>[[DMS:5798182v2:07/29/2022--01:57 PM]]</w:instrText>
    </w:r>
    <w:r w:rsidRPr="000C747A">
      <w:rPr>
        <w:sz w:val="14"/>
      </w:rPr>
      <w:fldChar w:fldCharType="end"/>
    </w:r>
    <w:r w:rsidRPr="000C747A">
      <w:rPr>
        <w:sz w:val="14"/>
      </w:rPr>
      <w:instrText>" ""</w:instrText>
    </w:r>
    <w:r>
      <w:rPr>
        <w:sz w:val="14"/>
      </w:rPr>
      <w:instrText xml:space="preserve"> </w:instrText>
    </w:r>
    <w:r>
      <w:rPr>
        <w:sz w:val="14"/>
      </w:rPr>
      <w:fldChar w:fldCharType="separate"/>
    </w:r>
    <w:r>
      <w:rPr>
        <w:noProof/>
        <w:sz w:val="14"/>
      </w:rPr>
      <w:t>[[DMS:5798182v2:07/29/2022--01:57 PM]]</w:t>
    </w:r>
    <w:r>
      <w:rPr>
        <w:sz w:val="1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EE3C" w14:textId="77777777" w:rsidR="0061776B" w:rsidRPr="0061776B" w:rsidRDefault="00000000">
    <w:pPr>
      <w:pStyle w:val="Header"/>
      <w:rPr>
        <w:b/>
        <w:bCs/>
      </w:rPr>
    </w:pPr>
    <w:r>
      <w:rPr>
        <w:b/>
        <w:bCs/>
      </w:rPr>
      <w:t>Serial Article for IP Watchdog</w:t>
    </w:r>
    <w:r>
      <w:rPr>
        <w:b/>
        <w:bCs/>
      </w:rPr>
      <w:tab/>
    </w:r>
    <w:r w:rsidRPr="0061776B">
      <w:rPr>
        <w:b/>
        <w:bCs/>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7F67" w14:textId="77777777" w:rsidR="00437A2E" w:rsidRPr="0061776B" w:rsidRDefault="00000000" w:rsidP="00350350">
    <w:pPr>
      <w:pStyle w:val="Header"/>
      <w:rPr>
        <w:b/>
        <w:bCs/>
      </w:rPr>
    </w:pPr>
    <w:r>
      <w:rPr>
        <w:b/>
        <w:bCs/>
      </w:rPr>
      <w:t xml:space="preserve">Serial Article for IP </w:t>
    </w:r>
    <w:r>
      <w:rPr>
        <w:b/>
        <w:bCs/>
      </w:rPr>
      <w:t>Watchdog</w:t>
    </w:r>
    <w:r>
      <w:rPr>
        <w:b/>
        <w:bCs/>
      </w:rPr>
      <w:tab/>
    </w:r>
    <w:r w:rsidRPr="0061776B">
      <w:rPr>
        <w:b/>
        <w:bCs/>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CD"/>
    <w:rsid w:val="00B2035F"/>
    <w:rsid w:val="00D7138B"/>
    <w:rsid w:val="00D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2D629"/>
  <w14:defaultImageDpi w14:val="32767"/>
  <w15:chartTrackingRefBased/>
  <w15:docId w15:val="{7FCC59B0-194B-A644-BD89-482DE4D7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BCD"/>
    <w:pPr>
      <w:spacing w:after="160" w:line="259" w:lineRule="auto"/>
    </w:pPr>
    <w:rPr>
      <w:rFonts w:ascii="Times New Roman"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CD"/>
    <w:pPr>
      <w:ind w:left="720"/>
      <w:contextualSpacing/>
    </w:pPr>
  </w:style>
  <w:style w:type="paragraph" w:styleId="FootnoteText">
    <w:name w:val="footnote text"/>
    <w:basedOn w:val="Normal"/>
    <w:link w:val="FootnoteTextChar"/>
    <w:uiPriority w:val="99"/>
    <w:unhideWhenUsed/>
    <w:rsid w:val="00DD5BCD"/>
    <w:pPr>
      <w:spacing w:after="0" w:line="240" w:lineRule="auto"/>
    </w:pPr>
    <w:rPr>
      <w:sz w:val="21"/>
    </w:rPr>
  </w:style>
  <w:style w:type="character" w:customStyle="1" w:styleId="FootnoteTextChar">
    <w:name w:val="Footnote Text Char"/>
    <w:basedOn w:val="DefaultParagraphFont"/>
    <w:link w:val="FootnoteText"/>
    <w:uiPriority w:val="99"/>
    <w:rsid w:val="00DD5BCD"/>
    <w:rPr>
      <w:rFonts w:ascii="Times New Roman" w:hAnsi="Times New Roman" w:cs="Arial"/>
      <w:sz w:val="21"/>
      <w:szCs w:val="20"/>
    </w:rPr>
  </w:style>
  <w:style w:type="paragraph" w:styleId="Header">
    <w:name w:val="header"/>
    <w:basedOn w:val="Normal"/>
    <w:link w:val="HeaderChar"/>
    <w:uiPriority w:val="99"/>
    <w:unhideWhenUsed/>
    <w:rsid w:val="00DD5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CD"/>
    <w:rPr>
      <w:rFonts w:ascii="Times New Roman" w:hAnsi="Times New Roman" w:cs="Arial"/>
      <w:szCs w:val="20"/>
    </w:rPr>
  </w:style>
  <w:style w:type="paragraph" w:styleId="Footer">
    <w:name w:val="footer"/>
    <w:basedOn w:val="Normal"/>
    <w:link w:val="FooterChar"/>
    <w:uiPriority w:val="99"/>
    <w:unhideWhenUsed/>
    <w:rsid w:val="00DD5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CD"/>
    <w:rPr>
      <w:rFonts w:ascii="Times New Roman" w:hAnsi="Times New Roman" w:cs="Arial"/>
      <w:szCs w:val="20"/>
    </w:rPr>
  </w:style>
  <w:style w:type="character" w:styleId="PageNumber">
    <w:name w:val="page number"/>
    <w:basedOn w:val="DefaultParagraphFont"/>
    <w:uiPriority w:val="99"/>
    <w:semiHidden/>
    <w:unhideWhenUsed/>
    <w:rsid w:val="00DD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Eileen (UK)</dc:creator>
  <cp:keywords/>
  <dc:description/>
  <cp:lastModifiedBy>McDermott, Eileen (UK)</cp:lastModifiedBy>
  <cp:revision>1</cp:revision>
  <dcterms:created xsi:type="dcterms:W3CDTF">2022-10-06T11:49:00Z</dcterms:created>
  <dcterms:modified xsi:type="dcterms:W3CDTF">2022-10-06T11:49:00Z</dcterms:modified>
</cp:coreProperties>
</file>