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9950" w14:textId="77777777" w:rsidR="00CA53FA" w:rsidRDefault="00CA53FA" w:rsidP="00CA53FA">
      <w:pPr>
        <w:pStyle w:val="ListParagraph"/>
        <w:ind w:left="0"/>
        <w:jc w:val="center"/>
        <w:rPr>
          <w:rFonts w:cs="Times New Roman"/>
          <w:b/>
          <w:bCs/>
          <w:szCs w:val="24"/>
        </w:rPr>
      </w:pPr>
      <w:r w:rsidRPr="00B444D8">
        <w:rPr>
          <w:rFonts w:cs="Times New Roman"/>
          <w:b/>
          <w:bCs/>
          <w:szCs w:val="24"/>
          <w:u w:val="single"/>
        </w:rPr>
        <w:t>Appendix A</w:t>
      </w:r>
      <w:r>
        <w:rPr>
          <w:rFonts w:cs="Times New Roman"/>
          <w:b/>
          <w:bCs/>
          <w:szCs w:val="24"/>
        </w:rPr>
        <w:t xml:space="preserve">:  </w:t>
      </w:r>
    </w:p>
    <w:p w14:paraId="0447719A" w14:textId="77777777" w:rsidR="00CA53FA" w:rsidRDefault="00CA53FA" w:rsidP="00CA53FA">
      <w:pPr>
        <w:pStyle w:val="ListParagraph"/>
        <w:ind w:left="0"/>
        <w:jc w:val="center"/>
        <w:rPr>
          <w:rFonts w:cs="Times New Roman"/>
          <w:b/>
          <w:bCs/>
          <w:szCs w:val="24"/>
        </w:rPr>
      </w:pPr>
      <w:r>
        <w:rPr>
          <w:rFonts w:cs="Times New Roman"/>
          <w:b/>
          <w:bCs/>
          <w:szCs w:val="24"/>
        </w:rPr>
        <w:t xml:space="preserve">Quotes about the current state of patent eligibility law from some of the most knowledgeable individuals and organizations in patent law and innovation policy </w:t>
      </w:r>
    </w:p>
    <w:p w14:paraId="43DDC4C3" w14:textId="77777777" w:rsidR="00CA53FA" w:rsidRPr="00940709" w:rsidRDefault="00CA53FA" w:rsidP="00CA53FA">
      <w:pPr>
        <w:pStyle w:val="BlockText"/>
        <w:ind w:left="0"/>
        <w:rPr>
          <w:rFonts w:cs="Times New Roman"/>
          <w:sz w:val="22"/>
          <w:szCs w:val="22"/>
        </w:rPr>
      </w:pPr>
      <w:r w:rsidRPr="00940709">
        <w:rPr>
          <w:rFonts w:cs="Times New Roman"/>
          <w:b/>
          <w:bCs/>
          <w:sz w:val="22"/>
          <w:szCs w:val="22"/>
          <w:u w:val="single"/>
        </w:rPr>
        <w:t>Hon. Kimberly Moore (Circuit Judge, CAFC)</w:t>
      </w:r>
      <w:r w:rsidRPr="00940709">
        <w:rPr>
          <w:rFonts w:cs="Times New Roman"/>
          <w:b/>
          <w:bCs/>
          <w:sz w:val="22"/>
          <w:szCs w:val="22"/>
        </w:rPr>
        <w:t>:</w:t>
      </w:r>
      <w:r w:rsidRPr="00940709">
        <w:rPr>
          <w:rFonts w:cs="Times New Roman"/>
          <w:sz w:val="22"/>
          <w:szCs w:val="22"/>
        </w:rPr>
        <w:t xml:space="preserve"> “A disturbing amount of confusion will surely be caused by this opinion, which stands for the proposition that claims can be ineligible as directed to a natural law even though no actual natural law is articulated in the claim or even the specification.”</w:t>
      </w:r>
      <w:r w:rsidRPr="00940709">
        <w:rPr>
          <w:rStyle w:val="FootnoteReference"/>
          <w:rFonts w:cs="Times New Roman"/>
          <w:sz w:val="22"/>
          <w:szCs w:val="22"/>
        </w:rPr>
        <w:footnoteReference w:id="1"/>
      </w:r>
    </w:p>
    <w:p w14:paraId="2DD23FF0" w14:textId="77777777" w:rsidR="00CA53FA" w:rsidRPr="00940709" w:rsidRDefault="00CA53FA" w:rsidP="00CA53FA">
      <w:pPr>
        <w:pStyle w:val="BlockText"/>
        <w:ind w:left="0"/>
        <w:rPr>
          <w:rFonts w:cs="Times New Roman"/>
          <w:sz w:val="22"/>
          <w:szCs w:val="22"/>
        </w:rPr>
      </w:pPr>
    </w:p>
    <w:p w14:paraId="75EB9E85" w14:textId="77777777" w:rsidR="00CA53FA" w:rsidRPr="00940709" w:rsidRDefault="00CA53FA" w:rsidP="00CA53FA">
      <w:pPr>
        <w:pStyle w:val="BlockText"/>
        <w:ind w:left="0"/>
        <w:rPr>
          <w:rFonts w:cs="Times New Roman"/>
          <w:b/>
          <w:bCs/>
          <w:sz w:val="22"/>
          <w:szCs w:val="22"/>
          <w:u w:val="single"/>
        </w:rPr>
      </w:pPr>
      <w:r w:rsidRPr="00940709">
        <w:rPr>
          <w:rFonts w:cs="Times New Roman"/>
          <w:b/>
          <w:bCs/>
          <w:sz w:val="22"/>
          <w:szCs w:val="22"/>
          <w:u w:val="single"/>
        </w:rPr>
        <w:t>Hon. Todd M. Hughes (Circuit Judge, CAFC)</w:t>
      </w:r>
      <w:r w:rsidRPr="00940709">
        <w:rPr>
          <w:rFonts w:cs="Times New Roman"/>
          <w:b/>
          <w:bCs/>
          <w:sz w:val="22"/>
          <w:szCs w:val="22"/>
        </w:rPr>
        <w:t>:</w:t>
      </w:r>
      <w:r w:rsidRPr="00940709">
        <w:rPr>
          <w:rFonts w:cs="Times New Roman"/>
          <w:sz w:val="22"/>
          <w:szCs w:val="22"/>
        </w:rPr>
        <w:t xml:space="preserve"> “I, for one, would welcome further explication of eligibility standards </w:t>
      </w:r>
      <w:proofErr w:type="gramStart"/>
      <w:r w:rsidRPr="00940709">
        <w:rPr>
          <w:rFonts w:cs="Times New Roman"/>
          <w:sz w:val="22"/>
          <w:szCs w:val="22"/>
        </w:rPr>
        <w:t>in the area of</w:t>
      </w:r>
      <w:proofErr w:type="gramEnd"/>
      <w:r w:rsidRPr="00940709">
        <w:rPr>
          <w:rFonts w:cs="Times New Roman"/>
          <w:sz w:val="22"/>
          <w:szCs w:val="22"/>
        </w:rPr>
        <w:t xml:space="preserve"> diagnostics patents</w:t>
      </w:r>
      <w:r>
        <w:rPr>
          <w:rFonts w:cs="Times New Roman"/>
          <w:sz w:val="22"/>
          <w:szCs w:val="22"/>
        </w:rPr>
        <w:t xml:space="preserve">. </w:t>
      </w:r>
      <w:r w:rsidRPr="00940709">
        <w:rPr>
          <w:rFonts w:cs="Times New Roman"/>
          <w:sz w:val="22"/>
          <w:szCs w:val="22"/>
        </w:rPr>
        <w:t xml:space="preserve">Such standards could permit patenting of essential </w:t>
      </w:r>
      <w:proofErr w:type="spellStart"/>
      <w:r w:rsidRPr="00940709">
        <w:rPr>
          <w:rFonts w:cs="Times New Roman"/>
          <w:sz w:val="22"/>
          <w:szCs w:val="22"/>
        </w:rPr>
        <w:t>life saving</w:t>
      </w:r>
      <w:proofErr w:type="spellEnd"/>
      <w:r w:rsidRPr="00940709">
        <w:rPr>
          <w:rFonts w:cs="Times New Roman"/>
          <w:sz w:val="22"/>
          <w:szCs w:val="22"/>
        </w:rPr>
        <w:t xml:space="preserve"> inventions based on natural laws while providing a reasonable and measured way to differentiate between overly broad patents claiming natural laws and truly worthy specific applications.”</w:t>
      </w:r>
      <w:r w:rsidRPr="00940709">
        <w:rPr>
          <w:rStyle w:val="FootnoteReference"/>
          <w:rFonts w:cs="Times New Roman"/>
          <w:sz w:val="22"/>
          <w:szCs w:val="22"/>
        </w:rPr>
        <w:footnoteReference w:id="2"/>
      </w:r>
    </w:p>
    <w:p w14:paraId="6B2D4754" w14:textId="77777777" w:rsidR="00CA53FA" w:rsidRPr="00940709" w:rsidRDefault="00CA53FA" w:rsidP="00CA53FA">
      <w:pPr>
        <w:pStyle w:val="BlockText"/>
        <w:ind w:left="0"/>
        <w:rPr>
          <w:rFonts w:cs="Times New Roman"/>
          <w:sz w:val="22"/>
          <w:szCs w:val="22"/>
        </w:rPr>
      </w:pPr>
    </w:p>
    <w:p w14:paraId="43165AD3" w14:textId="77777777" w:rsidR="00CA53FA" w:rsidRPr="00940709" w:rsidRDefault="00CA53FA" w:rsidP="00CA53FA">
      <w:pPr>
        <w:pStyle w:val="BlockText"/>
        <w:ind w:left="0"/>
        <w:rPr>
          <w:rFonts w:cs="Times New Roman"/>
          <w:sz w:val="22"/>
          <w:szCs w:val="22"/>
        </w:rPr>
      </w:pPr>
      <w:r w:rsidRPr="00940709">
        <w:rPr>
          <w:rFonts w:cs="Times New Roman"/>
          <w:b/>
          <w:bCs/>
          <w:sz w:val="22"/>
          <w:szCs w:val="22"/>
          <w:u w:val="single"/>
        </w:rPr>
        <w:t>Hon. Richard Linn (Circuit Judge, CAFC)</w:t>
      </w:r>
      <w:r w:rsidRPr="00940709">
        <w:rPr>
          <w:rFonts w:cs="Times New Roman"/>
          <w:b/>
          <w:bCs/>
          <w:sz w:val="22"/>
          <w:szCs w:val="22"/>
        </w:rPr>
        <w:t>:</w:t>
      </w:r>
      <w:r w:rsidRPr="00940709">
        <w:rPr>
          <w:rFonts w:cs="Times New Roman"/>
          <w:sz w:val="22"/>
          <w:szCs w:val="22"/>
        </w:rPr>
        <w:t xml:space="preserve"> “But for the sweeping language in the Supreme Court’s Mayo opinion, I see no reason, in policy or statute, why this breakthrough invention should be deemed patent ineligible.”</w:t>
      </w:r>
      <w:r w:rsidRPr="00940709">
        <w:rPr>
          <w:rStyle w:val="FootnoteReference"/>
          <w:rFonts w:cs="Times New Roman"/>
          <w:sz w:val="22"/>
          <w:szCs w:val="22"/>
        </w:rPr>
        <w:footnoteReference w:id="3"/>
      </w:r>
    </w:p>
    <w:p w14:paraId="4BA72D7D" w14:textId="77777777" w:rsidR="00CA53FA" w:rsidRPr="00940709" w:rsidRDefault="00CA53FA" w:rsidP="00CA53FA">
      <w:pPr>
        <w:pStyle w:val="BlockText"/>
        <w:ind w:left="0"/>
        <w:rPr>
          <w:rFonts w:cs="Times New Roman"/>
          <w:sz w:val="22"/>
          <w:szCs w:val="22"/>
        </w:rPr>
      </w:pPr>
    </w:p>
    <w:p w14:paraId="6788F045" w14:textId="77777777" w:rsidR="00CA53FA" w:rsidRPr="00940709" w:rsidRDefault="00CA53FA" w:rsidP="00CA53FA">
      <w:pPr>
        <w:pStyle w:val="BlockText"/>
        <w:ind w:left="0"/>
        <w:rPr>
          <w:rFonts w:cs="Times New Roman"/>
          <w:sz w:val="22"/>
          <w:szCs w:val="22"/>
        </w:rPr>
      </w:pPr>
      <w:r w:rsidRPr="00940709">
        <w:rPr>
          <w:rFonts w:cs="Times New Roman"/>
          <w:b/>
          <w:bCs/>
          <w:sz w:val="22"/>
          <w:szCs w:val="22"/>
          <w:u w:val="single"/>
        </w:rPr>
        <w:t xml:space="preserve">Hon. S. Jay </w:t>
      </w:r>
      <w:proofErr w:type="spellStart"/>
      <w:r w:rsidRPr="00940709">
        <w:rPr>
          <w:rFonts w:cs="Times New Roman"/>
          <w:b/>
          <w:bCs/>
          <w:sz w:val="22"/>
          <w:szCs w:val="22"/>
          <w:u w:val="single"/>
        </w:rPr>
        <w:t>Plager</w:t>
      </w:r>
      <w:proofErr w:type="spellEnd"/>
      <w:r w:rsidRPr="00940709">
        <w:rPr>
          <w:rFonts w:cs="Times New Roman"/>
          <w:b/>
          <w:bCs/>
          <w:sz w:val="22"/>
          <w:szCs w:val="22"/>
          <w:u w:val="single"/>
        </w:rPr>
        <w:t xml:space="preserve"> (Circuit Judge, CAFC)</w:t>
      </w:r>
      <w:r w:rsidRPr="00940709">
        <w:rPr>
          <w:rFonts w:cs="Times New Roman"/>
          <w:b/>
          <w:bCs/>
          <w:sz w:val="22"/>
          <w:szCs w:val="22"/>
        </w:rPr>
        <w:t>:</w:t>
      </w:r>
      <w:r w:rsidRPr="00940709">
        <w:rPr>
          <w:rFonts w:cs="Times New Roman"/>
          <w:sz w:val="22"/>
          <w:szCs w:val="22"/>
        </w:rPr>
        <w:t xml:space="preserve"> “The law, as I shall explain, renders it near impossible to know with any certainty whether the invention is or is not patent eligible. Accordingly, I also respectfully dissent from our court’s continued application of this incoherent body of doctrine.”</w:t>
      </w:r>
      <w:r w:rsidRPr="00940709">
        <w:rPr>
          <w:rStyle w:val="FootnoteReference"/>
          <w:rFonts w:cs="Times New Roman"/>
          <w:sz w:val="22"/>
          <w:szCs w:val="22"/>
        </w:rPr>
        <w:footnoteReference w:id="4"/>
      </w:r>
    </w:p>
    <w:p w14:paraId="0B767B6F" w14:textId="77777777" w:rsidR="00CA53FA" w:rsidRPr="00940709" w:rsidRDefault="00CA53FA" w:rsidP="00CA53FA">
      <w:pPr>
        <w:pStyle w:val="BlockText"/>
        <w:ind w:left="0"/>
        <w:rPr>
          <w:rFonts w:cs="Times New Roman"/>
          <w:sz w:val="22"/>
          <w:szCs w:val="22"/>
        </w:rPr>
      </w:pPr>
    </w:p>
    <w:p w14:paraId="5B6A082C" w14:textId="77777777" w:rsidR="00CA53FA" w:rsidRPr="00940709" w:rsidRDefault="00CA53FA" w:rsidP="00CA53FA">
      <w:pPr>
        <w:pStyle w:val="BlockText"/>
        <w:ind w:left="0"/>
        <w:rPr>
          <w:rFonts w:cs="Times New Roman"/>
          <w:sz w:val="22"/>
          <w:szCs w:val="22"/>
        </w:rPr>
      </w:pPr>
      <w:r w:rsidRPr="00940709">
        <w:rPr>
          <w:rFonts w:cs="Times New Roman"/>
          <w:b/>
          <w:bCs/>
          <w:sz w:val="22"/>
          <w:szCs w:val="22"/>
          <w:u w:val="single"/>
        </w:rPr>
        <w:t>Hon. Alan D. Lourie (Circuit Judge, CAFC)</w:t>
      </w:r>
      <w:r w:rsidRPr="00940709">
        <w:rPr>
          <w:rFonts w:cs="Times New Roman"/>
          <w:b/>
          <w:bCs/>
          <w:sz w:val="22"/>
          <w:szCs w:val="22"/>
        </w:rPr>
        <w:t>:</w:t>
      </w:r>
      <w:r w:rsidRPr="00940709">
        <w:rPr>
          <w:rFonts w:cs="Times New Roman"/>
          <w:sz w:val="22"/>
          <w:szCs w:val="22"/>
        </w:rPr>
        <w:t xml:space="preserve"> “The laws of anticipation, obviousness, indefiniteness, and written description provide other filters to determine what is patentable</w:t>
      </w:r>
      <w:r>
        <w:rPr>
          <w:rFonts w:cs="Times New Roman"/>
          <w:sz w:val="22"/>
          <w:szCs w:val="22"/>
        </w:rPr>
        <w:t xml:space="preserve">. </w:t>
      </w:r>
      <w:r w:rsidRPr="00940709">
        <w:rPr>
          <w:rFonts w:cs="Times New Roman"/>
          <w:sz w:val="22"/>
          <w:szCs w:val="22"/>
        </w:rPr>
        <w:t>But we do not write here on a clean slate; we are bound by Supreme Court precedent</w:t>
      </w:r>
      <w:proofErr w:type="gramStart"/>
      <w:r w:rsidRPr="00940709">
        <w:rPr>
          <w:rFonts w:cs="Times New Roman"/>
          <w:sz w:val="22"/>
          <w:szCs w:val="22"/>
        </w:rPr>
        <w:t xml:space="preserve">. . . </w:t>
      </w:r>
      <w:r>
        <w:rPr>
          <w:rFonts w:cs="Times New Roman"/>
          <w:sz w:val="22"/>
          <w:szCs w:val="22"/>
        </w:rPr>
        <w:t>.</w:t>
      </w:r>
      <w:proofErr w:type="gramEnd"/>
      <w:r>
        <w:rPr>
          <w:rFonts w:cs="Times New Roman"/>
          <w:sz w:val="22"/>
          <w:szCs w:val="22"/>
        </w:rPr>
        <w:t xml:space="preserve"> </w:t>
      </w:r>
      <w:r w:rsidRPr="00940709">
        <w:rPr>
          <w:rFonts w:cs="Times New Roman"/>
          <w:sz w:val="22"/>
          <w:szCs w:val="22"/>
        </w:rPr>
        <w:t xml:space="preserve">Accordingly, </w:t>
      </w:r>
      <w:proofErr w:type="gramStart"/>
      <w:r w:rsidRPr="00940709">
        <w:rPr>
          <w:rFonts w:cs="Times New Roman"/>
          <w:sz w:val="22"/>
          <w:szCs w:val="22"/>
        </w:rPr>
        <w:t>as long as</w:t>
      </w:r>
      <w:proofErr w:type="gramEnd"/>
      <w:r w:rsidRPr="00940709">
        <w:rPr>
          <w:rFonts w:cs="Times New Roman"/>
          <w:sz w:val="22"/>
          <w:szCs w:val="22"/>
        </w:rPr>
        <w:t xml:space="preserve"> the Court’s precedent stands, the only possible solution lies in the pens of claim drafters or legislators</w:t>
      </w:r>
      <w:r>
        <w:rPr>
          <w:rFonts w:cs="Times New Roman"/>
          <w:sz w:val="22"/>
          <w:szCs w:val="22"/>
        </w:rPr>
        <w:t xml:space="preserve">. </w:t>
      </w:r>
      <w:r w:rsidRPr="00940709">
        <w:rPr>
          <w:rFonts w:cs="Times New Roman"/>
          <w:sz w:val="22"/>
          <w:szCs w:val="22"/>
        </w:rPr>
        <w:t>We are neither.”</w:t>
      </w:r>
      <w:r w:rsidRPr="00940709">
        <w:rPr>
          <w:rStyle w:val="FootnoteReference"/>
          <w:rFonts w:cs="Times New Roman"/>
          <w:sz w:val="22"/>
          <w:szCs w:val="22"/>
        </w:rPr>
        <w:footnoteReference w:id="5"/>
      </w:r>
    </w:p>
    <w:p w14:paraId="0DC85854" w14:textId="77777777" w:rsidR="00CA53FA" w:rsidRPr="00940709" w:rsidRDefault="00CA53FA" w:rsidP="00CA53FA">
      <w:pPr>
        <w:pStyle w:val="BlockText"/>
        <w:ind w:left="0"/>
        <w:rPr>
          <w:rFonts w:cs="Times New Roman"/>
          <w:sz w:val="22"/>
          <w:szCs w:val="22"/>
        </w:rPr>
      </w:pPr>
    </w:p>
    <w:p w14:paraId="59F147E9" w14:textId="77777777" w:rsidR="00CA53FA" w:rsidRPr="00940709" w:rsidRDefault="00CA53FA" w:rsidP="00CA53FA">
      <w:pPr>
        <w:pStyle w:val="BlockText"/>
        <w:ind w:left="0"/>
        <w:rPr>
          <w:rFonts w:cs="Times New Roman"/>
          <w:sz w:val="22"/>
          <w:szCs w:val="22"/>
        </w:rPr>
      </w:pPr>
      <w:r w:rsidRPr="00940709">
        <w:rPr>
          <w:rFonts w:cs="Times New Roman"/>
          <w:b/>
          <w:bCs/>
          <w:sz w:val="22"/>
          <w:szCs w:val="22"/>
          <w:u w:val="single"/>
        </w:rPr>
        <w:t>Hon. Pauline Newman (Circuit Judge, CAFC)</w:t>
      </w:r>
      <w:r w:rsidRPr="00940709">
        <w:rPr>
          <w:rFonts w:cs="Times New Roman"/>
          <w:b/>
          <w:bCs/>
          <w:sz w:val="22"/>
          <w:szCs w:val="22"/>
        </w:rPr>
        <w:t>:</w:t>
      </w:r>
      <w:r w:rsidRPr="00940709">
        <w:rPr>
          <w:rFonts w:cs="Times New Roman"/>
          <w:sz w:val="22"/>
          <w:szCs w:val="22"/>
        </w:rPr>
        <w:t xml:space="preserve"> “The court’s rulings on patent eligibility have become so diverse and unpredictable as to have a serious effect on the innovation incentive in all fields of technology.”</w:t>
      </w:r>
      <w:r w:rsidRPr="00940709">
        <w:rPr>
          <w:rStyle w:val="FootnoteReference"/>
          <w:rFonts w:cs="Times New Roman"/>
          <w:sz w:val="22"/>
          <w:szCs w:val="22"/>
        </w:rPr>
        <w:footnoteReference w:id="6"/>
      </w:r>
      <w:r w:rsidRPr="00940709">
        <w:rPr>
          <w:rFonts w:cs="Times New Roman"/>
          <w:sz w:val="22"/>
          <w:szCs w:val="22"/>
        </w:rPr>
        <w:t xml:space="preserve"> </w:t>
      </w:r>
    </w:p>
    <w:p w14:paraId="186094BB" w14:textId="77777777" w:rsidR="00CA53FA" w:rsidRPr="00940709" w:rsidRDefault="00CA53FA" w:rsidP="00CA53FA">
      <w:pPr>
        <w:pStyle w:val="BlockText"/>
        <w:ind w:left="0"/>
        <w:rPr>
          <w:rFonts w:cs="Times New Roman"/>
          <w:sz w:val="22"/>
          <w:szCs w:val="22"/>
        </w:rPr>
      </w:pPr>
    </w:p>
    <w:p w14:paraId="5117B874" w14:textId="4D7F6934" w:rsidR="00716631" w:rsidRPr="00940709" w:rsidRDefault="00CA53FA" w:rsidP="00716631">
      <w:pPr>
        <w:pStyle w:val="BlockText"/>
        <w:ind w:left="0"/>
        <w:rPr>
          <w:rFonts w:cs="Times New Roman"/>
          <w:sz w:val="22"/>
          <w:szCs w:val="22"/>
        </w:rPr>
      </w:pPr>
      <w:r w:rsidRPr="00940709">
        <w:rPr>
          <w:rFonts w:cs="Times New Roman"/>
          <w:b/>
          <w:bCs/>
          <w:sz w:val="22"/>
          <w:szCs w:val="22"/>
          <w:u w:val="single"/>
        </w:rPr>
        <w:t>Hon. Timothy Dyk (Circuit Judge, CAFC)</w:t>
      </w:r>
      <w:r w:rsidRPr="00940709">
        <w:rPr>
          <w:rFonts w:cs="Times New Roman"/>
          <w:b/>
          <w:bCs/>
          <w:sz w:val="22"/>
          <w:szCs w:val="22"/>
        </w:rPr>
        <w:t>:</w:t>
      </w:r>
      <w:r w:rsidRPr="00940709">
        <w:rPr>
          <w:rFonts w:cs="Times New Roman"/>
          <w:sz w:val="22"/>
          <w:szCs w:val="22"/>
        </w:rPr>
        <w:t xml:space="preserve"> “I share the concerns of some of my colleagues that a too restrictive test for patent eligibility under 35 U.S.C. § 101 with respect to laws of nature (reflected in some of the language in </w:t>
      </w:r>
      <w:r w:rsidRPr="00940709">
        <w:rPr>
          <w:rFonts w:cs="Times New Roman"/>
          <w:i/>
          <w:iCs w:val="0"/>
          <w:sz w:val="22"/>
          <w:szCs w:val="22"/>
        </w:rPr>
        <w:t>Mayo</w:t>
      </w:r>
      <w:r w:rsidRPr="00940709">
        <w:rPr>
          <w:rFonts w:cs="Times New Roman"/>
          <w:sz w:val="22"/>
          <w:szCs w:val="22"/>
        </w:rPr>
        <w:t>) may discourage development</w:t>
      </w:r>
      <w:r w:rsidR="00716631" w:rsidRPr="00716631">
        <w:rPr>
          <w:rFonts w:cs="Times New Roman"/>
          <w:sz w:val="22"/>
          <w:szCs w:val="22"/>
        </w:rPr>
        <w:t xml:space="preserve"> </w:t>
      </w:r>
      <w:r w:rsidR="00716631" w:rsidRPr="00940709">
        <w:rPr>
          <w:rFonts w:cs="Times New Roman"/>
          <w:sz w:val="22"/>
          <w:szCs w:val="22"/>
        </w:rPr>
        <w:lastRenderedPageBreak/>
        <w:t>and disclosure of new diagnostic and therapeutic methods in the life sciences, which are often driven by discovery of new natural laws and phenomena.”</w:t>
      </w:r>
      <w:r w:rsidR="00716631" w:rsidRPr="00940709">
        <w:rPr>
          <w:rStyle w:val="FootnoteReference"/>
          <w:rFonts w:cs="Times New Roman"/>
          <w:sz w:val="22"/>
          <w:szCs w:val="22"/>
        </w:rPr>
        <w:footnoteReference w:id="7"/>
      </w:r>
    </w:p>
    <w:p w14:paraId="160C2A50" w14:textId="77777777" w:rsidR="00716631" w:rsidRPr="00940709" w:rsidRDefault="00716631" w:rsidP="00716631">
      <w:pPr>
        <w:pStyle w:val="BlockText"/>
        <w:ind w:left="0"/>
        <w:rPr>
          <w:rFonts w:eastAsia="MS Mincho" w:cs="Times New Roman"/>
          <w:sz w:val="22"/>
          <w:szCs w:val="22"/>
        </w:rPr>
      </w:pPr>
    </w:p>
    <w:p w14:paraId="6BBFEF50" w14:textId="77777777" w:rsidR="00716631" w:rsidRPr="00940709" w:rsidRDefault="00716631" w:rsidP="00716631">
      <w:pPr>
        <w:pStyle w:val="BlockText"/>
        <w:ind w:left="0"/>
        <w:rPr>
          <w:rFonts w:cs="Times New Roman"/>
          <w:sz w:val="22"/>
          <w:szCs w:val="22"/>
        </w:rPr>
      </w:pPr>
      <w:r w:rsidRPr="00940709">
        <w:rPr>
          <w:rFonts w:cs="Times New Roman"/>
          <w:b/>
          <w:bCs/>
          <w:sz w:val="22"/>
          <w:szCs w:val="22"/>
          <w:u w:val="single"/>
        </w:rPr>
        <w:t xml:space="preserve">Hon. Paul R. Michel (Circuit Judge, </w:t>
      </w:r>
      <w:proofErr w:type="spellStart"/>
      <w:r w:rsidRPr="00940709">
        <w:rPr>
          <w:rFonts w:cs="Times New Roman"/>
          <w:b/>
          <w:bCs/>
          <w:sz w:val="22"/>
          <w:szCs w:val="22"/>
          <w:u w:val="single"/>
        </w:rPr>
        <w:t>ret’d</w:t>
      </w:r>
      <w:proofErr w:type="spellEnd"/>
      <w:r w:rsidRPr="00940709">
        <w:rPr>
          <w:rFonts w:cs="Times New Roman"/>
          <w:b/>
          <w:bCs/>
          <w:sz w:val="22"/>
          <w:szCs w:val="22"/>
          <w:u w:val="single"/>
        </w:rPr>
        <w:t>, CAFC)</w:t>
      </w:r>
      <w:r w:rsidRPr="00940709">
        <w:rPr>
          <w:rFonts w:cs="Times New Roman"/>
          <w:b/>
          <w:bCs/>
          <w:sz w:val="22"/>
          <w:szCs w:val="22"/>
        </w:rPr>
        <w:t>:</w:t>
      </w:r>
      <w:r w:rsidRPr="00940709">
        <w:rPr>
          <w:rFonts w:cs="Times New Roman"/>
          <w:sz w:val="22"/>
          <w:szCs w:val="22"/>
        </w:rPr>
        <w:t xml:space="preserve"> “If I, as a judge with 22 years of experience deciding patent cases on the Federal Circuit’s bench, cannot predict outcomes based on case law, how can we expect patent examiners, trial judges, inventors and investors to do so?”</w:t>
      </w:r>
      <w:r w:rsidRPr="00940709">
        <w:rPr>
          <w:rStyle w:val="FootnoteReference"/>
          <w:rFonts w:cs="Times New Roman"/>
          <w:sz w:val="22"/>
          <w:szCs w:val="22"/>
        </w:rPr>
        <w:footnoteReference w:id="8"/>
      </w:r>
    </w:p>
    <w:p w14:paraId="3D4CCF5E" w14:textId="77777777" w:rsidR="00716631" w:rsidRPr="00940709" w:rsidRDefault="00716631" w:rsidP="00716631">
      <w:pPr>
        <w:pStyle w:val="BlockText"/>
        <w:ind w:left="0"/>
        <w:rPr>
          <w:rFonts w:cs="Times New Roman"/>
          <w:sz w:val="22"/>
          <w:szCs w:val="22"/>
        </w:rPr>
      </w:pPr>
    </w:p>
    <w:p w14:paraId="46BC1400" w14:textId="77777777" w:rsidR="00716631" w:rsidRPr="00940709" w:rsidRDefault="00716631" w:rsidP="00716631">
      <w:pPr>
        <w:pStyle w:val="BlockText"/>
        <w:ind w:left="0"/>
        <w:rPr>
          <w:rFonts w:cs="Times New Roman"/>
          <w:sz w:val="22"/>
          <w:szCs w:val="22"/>
        </w:rPr>
      </w:pPr>
      <w:r w:rsidRPr="00940709">
        <w:rPr>
          <w:rFonts w:cs="Times New Roman"/>
          <w:b/>
          <w:bCs/>
          <w:sz w:val="22"/>
          <w:szCs w:val="22"/>
          <w:u w:val="single"/>
        </w:rPr>
        <w:t>Sen. Thom Tillis (R-NC)</w:t>
      </w:r>
      <w:r w:rsidRPr="00940709">
        <w:rPr>
          <w:rFonts w:cs="Times New Roman"/>
          <w:b/>
          <w:bCs/>
          <w:sz w:val="22"/>
          <w:szCs w:val="22"/>
        </w:rPr>
        <w:t>:</w:t>
      </w:r>
      <w:r w:rsidRPr="00940709">
        <w:rPr>
          <w:rFonts w:cs="Times New Roman"/>
          <w:sz w:val="22"/>
          <w:szCs w:val="22"/>
        </w:rPr>
        <w:t xml:space="preserve"> “Why would anyone in their right mind risk millions if not billions of dollars to develop a product when they have no idea if they’re eligible for protection? From a business perspective, it simply isn’t worth the risk for many endeavors.”</w:t>
      </w:r>
      <w:r w:rsidRPr="00940709">
        <w:rPr>
          <w:rStyle w:val="FootnoteReference"/>
          <w:rFonts w:cs="Times New Roman"/>
          <w:sz w:val="22"/>
          <w:szCs w:val="22"/>
        </w:rPr>
        <w:footnoteReference w:id="9"/>
      </w:r>
    </w:p>
    <w:p w14:paraId="38582F73" w14:textId="77777777" w:rsidR="00716631" w:rsidRPr="00940709" w:rsidRDefault="00716631" w:rsidP="00716631">
      <w:pPr>
        <w:pStyle w:val="BlockText"/>
        <w:ind w:left="0"/>
        <w:rPr>
          <w:rFonts w:cs="Times New Roman"/>
          <w:sz w:val="22"/>
          <w:szCs w:val="22"/>
        </w:rPr>
      </w:pPr>
    </w:p>
    <w:p w14:paraId="2A211463" w14:textId="77777777" w:rsidR="00716631" w:rsidRPr="00940709" w:rsidRDefault="00716631" w:rsidP="00716631">
      <w:pPr>
        <w:pStyle w:val="BlockText"/>
        <w:ind w:left="0"/>
        <w:rPr>
          <w:rFonts w:cs="Times New Roman"/>
          <w:sz w:val="22"/>
          <w:szCs w:val="22"/>
        </w:rPr>
      </w:pPr>
      <w:r w:rsidRPr="00940709">
        <w:rPr>
          <w:rFonts w:cs="Times New Roman"/>
          <w:b/>
          <w:bCs/>
          <w:sz w:val="22"/>
          <w:szCs w:val="22"/>
          <w:u w:val="single"/>
        </w:rPr>
        <w:t>Sen. Chris Coons (D-</w:t>
      </w:r>
      <w:r>
        <w:rPr>
          <w:rFonts w:cs="Times New Roman"/>
          <w:b/>
          <w:bCs/>
          <w:sz w:val="22"/>
          <w:szCs w:val="22"/>
          <w:u w:val="single"/>
        </w:rPr>
        <w:t>DE</w:t>
      </w:r>
      <w:r w:rsidRPr="00940709">
        <w:rPr>
          <w:rFonts w:cs="Times New Roman"/>
          <w:b/>
          <w:bCs/>
          <w:sz w:val="22"/>
          <w:szCs w:val="22"/>
          <w:u w:val="single"/>
        </w:rPr>
        <w:t>)</w:t>
      </w:r>
      <w:r w:rsidRPr="00940709">
        <w:rPr>
          <w:rFonts w:cs="Times New Roman"/>
          <w:b/>
          <w:bCs/>
          <w:sz w:val="22"/>
          <w:szCs w:val="22"/>
        </w:rPr>
        <w:t>:</w:t>
      </w:r>
      <w:r w:rsidRPr="00940709">
        <w:rPr>
          <w:rFonts w:cs="Times New Roman"/>
          <w:sz w:val="22"/>
          <w:szCs w:val="22"/>
        </w:rPr>
        <w:t xml:space="preserve"> “Today, U.S. patent law discourages innovation in some of the most critical areas of technology, including artificial intelligence, medical diagnostics, and personalized medicine.”</w:t>
      </w:r>
      <w:r w:rsidRPr="00940709">
        <w:rPr>
          <w:rStyle w:val="FootnoteReference"/>
          <w:rFonts w:cs="Times New Roman"/>
          <w:sz w:val="22"/>
          <w:szCs w:val="22"/>
        </w:rPr>
        <w:footnoteReference w:id="10"/>
      </w:r>
    </w:p>
    <w:p w14:paraId="5217E9FD" w14:textId="77777777" w:rsidR="00716631" w:rsidRPr="00940709" w:rsidRDefault="00716631" w:rsidP="00716631">
      <w:pPr>
        <w:pStyle w:val="BlockText"/>
        <w:ind w:left="0"/>
        <w:rPr>
          <w:rFonts w:cs="Times New Roman"/>
          <w:sz w:val="22"/>
          <w:szCs w:val="22"/>
        </w:rPr>
      </w:pPr>
    </w:p>
    <w:p w14:paraId="7A786872" w14:textId="77777777" w:rsidR="00716631" w:rsidRPr="00940709" w:rsidRDefault="00716631" w:rsidP="00716631">
      <w:pPr>
        <w:pStyle w:val="BlockText"/>
        <w:ind w:left="0"/>
        <w:rPr>
          <w:rFonts w:cs="Times New Roman"/>
          <w:sz w:val="22"/>
          <w:szCs w:val="22"/>
        </w:rPr>
      </w:pPr>
      <w:r w:rsidRPr="00940709">
        <w:rPr>
          <w:rFonts w:cs="Times New Roman"/>
          <w:b/>
          <w:bCs/>
          <w:sz w:val="22"/>
          <w:szCs w:val="22"/>
          <w:u w:val="single"/>
        </w:rPr>
        <w:t>Former Rep. Doug Collins (R-GA)</w:t>
      </w:r>
      <w:r w:rsidRPr="00940709">
        <w:rPr>
          <w:rFonts w:cs="Times New Roman"/>
          <w:b/>
          <w:bCs/>
          <w:sz w:val="22"/>
          <w:szCs w:val="22"/>
        </w:rPr>
        <w:t>:</w:t>
      </w:r>
      <w:r w:rsidRPr="00940709">
        <w:rPr>
          <w:rFonts w:cs="Times New Roman"/>
          <w:sz w:val="22"/>
          <w:szCs w:val="22"/>
        </w:rPr>
        <w:t xml:space="preserve"> “Upgrading the patent eligibility test is critical if we want American innovation to continue to lead worldwide.”</w:t>
      </w:r>
      <w:r w:rsidRPr="00940709">
        <w:rPr>
          <w:rStyle w:val="FootnoteReference"/>
          <w:rFonts w:cs="Times New Roman"/>
          <w:sz w:val="22"/>
          <w:szCs w:val="22"/>
        </w:rPr>
        <w:footnoteReference w:id="11"/>
      </w:r>
    </w:p>
    <w:p w14:paraId="784BDFF0" w14:textId="77777777" w:rsidR="00716631" w:rsidRPr="00940709" w:rsidRDefault="00716631" w:rsidP="00716631">
      <w:pPr>
        <w:pStyle w:val="BlockText"/>
        <w:ind w:left="0"/>
        <w:rPr>
          <w:rFonts w:cs="Times New Roman"/>
          <w:sz w:val="22"/>
          <w:szCs w:val="22"/>
        </w:rPr>
      </w:pPr>
    </w:p>
    <w:p w14:paraId="11DAE437" w14:textId="77777777" w:rsidR="00716631" w:rsidRPr="00940709" w:rsidRDefault="00716631" w:rsidP="00716631">
      <w:pPr>
        <w:pStyle w:val="BlockText"/>
        <w:ind w:left="0"/>
        <w:rPr>
          <w:rFonts w:cs="Times New Roman"/>
          <w:sz w:val="22"/>
          <w:szCs w:val="22"/>
        </w:rPr>
      </w:pPr>
      <w:r w:rsidRPr="00940709">
        <w:rPr>
          <w:rFonts w:cs="Times New Roman"/>
          <w:b/>
          <w:sz w:val="22"/>
          <w:szCs w:val="22"/>
          <w:u w:val="single"/>
        </w:rPr>
        <w:t xml:space="preserve">Hon. David </w:t>
      </w:r>
      <w:proofErr w:type="spellStart"/>
      <w:r w:rsidRPr="00940709">
        <w:rPr>
          <w:rFonts w:cs="Times New Roman"/>
          <w:b/>
          <w:sz w:val="22"/>
          <w:szCs w:val="22"/>
          <w:u w:val="single"/>
        </w:rPr>
        <w:t>Kappos</w:t>
      </w:r>
      <w:proofErr w:type="spellEnd"/>
      <w:r w:rsidRPr="00940709">
        <w:rPr>
          <w:rFonts w:cs="Times New Roman"/>
          <w:b/>
          <w:sz w:val="22"/>
          <w:szCs w:val="22"/>
          <w:u w:val="single"/>
        </w:rPr>
        <w:t xml:space="preserve"> (former USPTO Director)</w:t>
      </w:r>
      <w:r w:rsidRPr="00940709">
        <w:rPr>
          <w:rFonts w:cs="Times New Roman"/>
          <w:b/>
          <w:sz w:val="22"/>
          <w:szCs w:val="22"/>
        </w:rPr>
        <w:t>:</w:t>
      </w:r>
      <w:r w:rsidRPr="00940709">
        <w:rPr>
          <w:rFonts w:cs="Times New Roman"/>
          <w:sz w:val="22"/>
          <w:szCs w:val="22"/>
        </w:rPr>
        <w:t xml:space="preserve"> “Our current patent eligibility law truly is a mess</w:t>
      </w:r>
      <w:r>
        <w:rPr>
          <w:rFonts w:cs="Times New Roman"/>
          <w:sz w:val="22"/>
          <w:szCs w:val="22"/>
        </w:rPr>
        <w:t xml:space="preserve">. </w:t>
      </w:r>
      <w:r w:rsidRPr="00940709">
        <w:rPr>
          <w:rFonts w:cs="Times New Roman"/>
          <w:sz w:val="22"/>
          <w:szCs w:val="22"/>
        </w:rPr>
        <w:t>The Supreme Court, Federal Circuit, district courts, and USPTO are all spinning their wheels on decisions that are irreconcilable, incoherent, and against our national interest.”</w:t>
      </w:r>
      <w:r w:rsidRPr="00940709">
        <w:rPr>
          <w:rStyle w:val="FootnoteReference"/>
          <w:rFonts w:cs="Times New Roman"/>
          <w:sz w:val="22"/>
          <w:szCs w:val="22"/>
        </w:rPr>
        <w:footnoteReference w:id="12"/>
      </w:r>
    </w:p>
    <w:p w14:paraId="1571C65C" w14:textId="77777777" w:rsidR="00716631" w:rsidRPr="00940709" w:rsidRDefault="00716631" w:rsidP="00716631">
      <w:pPr>
        <w:pStyle w:val="BlockText"/>
        <w:ind w:left="0"/>
        <w:rPr>
          <w:rFonts w:cs="Times New Roman"/>
          <w:sz w:val="22"/>
          <w:szCs w:val="22"/>
        </w:rPr>
      </w:pPr>
    </w:p>
    <w:p w14:paraId="48D369A0" w14:textId="77777777" w:rsidR="00716631" w:rsidRPr="00940709" w:rsidRDefault="00716631" w:rsidP="00716631">
      <w:pPr>
        <w:pStyle w:val="BlockText"/>
        <w:ind w:left="0"/>
        <w:rPr>
          <w:rFonts w:cs="Times New Roman"/>
          <w:sz w:val="22"/>
          <w:szCs w:val="22"/>
        </w:rPr>
      </w:pPr>
      <w:r w:rsidRPr="00940709">
        <w:rPr>
          <w:rFonts w:cs="Times New Roman"/>
          <w:b/>
          <w:bCs/>
          <w:sz w:val="22"/>
          <w:szCs w:val="22"/>
          <w:u w:val="single"/>
        </w:rPr>
        <w:t>Noel Francisco (former U.S. Solicitor General)</w:t>
      </w:r>
      <w:r w:rsidRPr="00940709">
        <w:rPr>
          <w:rFonts w:cs="Times New Roman"/>
          <w:b/>
          <w:bCs/>
          <w:sz w:val="22"/>
          <w:szCs w:val="22"/>
        </w:rPr>
        <w:t>:</w:t>
      </w:r>
      <w:r w:rsidRPr="00940709">
        <w:rPr>
          <w:rFonts w:cs="Times New Roman"/>
          <w:sz w:val="22"/>
          <w:szCs w:val="22"/>
        </w:rPr>
        <w:t xml:space="preserve"> “The Court’s recent Section 101 decisions have fostered substantial uncertainty.”</w:t>
      </w:r>
    </w:p>
    <w:p w14:paraId="7187ED6C" w14:textId="77777777" w:rsidR="00716631" w:rsidRPr="00940709" w:rsidRDefault="00716631" w:rsidP="00716631">
      <w:pPr>
        <w:pStyle w:val="BlockText"/>
        <w:ind w:left="0"/>
        <w:rPr>
          <w:rFonts w:cs="Times New Roman"/>
          <w:sz w:val="22"/>
          <w:szCs w:val="22"/>
        </w:rPr>
      </w:pPr>
    </w:p>
    <w:p w14:paraId="06AC4153" w14:textId="77777777" w:rsidR="00716631" w:rsidRPr="00940709" w:rsidRDefault="00716631" w:rsidP="00716631">
      <w:pPr>
        <w:pStyle w:val="BlockText"/>
        <w:ind w:left="0"/>
        <w:rPr>
          <w:rFonts w:cs="Times New Roman"/>
          <w:sz w:val="22"/>
          <w:szCs w:val="22"/>
        </w:rPr>
      </w:pPr>
      <w:r w:rsidRPr="00940709">
        <w:rPr>
          <w:rFonts w:cs="Times New Roman"/>
          <w:b/>
          <w:bCs/>
          <w:sz w:val="22"/>
          <w:szCs w:val="22"/>
          <w:u w:val="single"/>
        </w:rPr>
        <w:t>Prof. Mark Lemley</w:t>
      </w:r>
      <w:r w:rsidRPr="00940709">
        <w:rPr>
          <w:rFonts w:cs="Times New Roman"/>
          <w:b/>
          <w:bCs/>
          <w:sz w:val="22"/>
          <w:szCs w:val="22"/>
        </w:rPr>
        <w:t>:</w:t>
      </w:r>
      <w:r w:rsidRPr="00940709">
        <w:rPr>
          <w:rFonts w:cs="Times New Roman"/>
          <w:sz w:val="22"/>
          <w:szCs w:val="22"/>
        </w:rPr>
        <w:t xml:space="preserve"> “The law of patentable subject matter is a mess.”</w:t>
      </w:r>
      <w:r w:rsidRPr="00940709">
        <w:rPr>
          <w:rStyle w:val="FootnoteReference"/>
          <w:rFonts w:cs="Times New Roman"/>
          <w:sz w:val="22"/>
          <w:szCs w:val="22"/>
        </w:rPr>
        <w:footnoteReference w:id="13"/>
      </w:r>
    </w:p>
    <w:p w14:paraId="62CA3CC9" w14:textId="77777777" w:rsidR="00716631" w:rsidRDefault="00716631" w:rsidP="00716631">
      <w:pPr>
        <w:pStyle w:val="BlockText"/>
        <w:ind w:left="0"/>
        <w:rPr>
          <w:rFonts w:cs="Times New Roman"/>
          <w:sz w:val="22"/>
          <w:szCs w:val="22"/>
        </w:rPr>
      </w:pPr>
      <w:r w:rsidRPr="00940709">
        <w:rPr>
          <w:rFonts w:cs="Times New Roman"/>
          <w:b/>
          <w:bCs/>
          <w:sz w:val="22"/>
          <w:szCs w:val="22"/>
          <w:u w:val="single"/>
        </w:rPr>
        <w:lastRenderedPageBreak/>
        <w:t>U.S. Chamber of Commerce</w:t>
      </w:r>
      <w:r w:rsidRPr="00940709">
        <w:rPr>
          <w:rFonts w:cs="Times New Roman"/>
          <w:b/>
          <w:bCs/>
          <w:sz w:val="22"/>
          <w:szCs w:val="22"/>
        </w:rPr>
        <w:t>:</w:t>
      </w:r>
      <w:r w:rsidRPr="00940709">
        <w:rPr>
          <w:rFonts w:cs="Times New Roman"/>
          <w:sz w:val="22"/>
          <w:szCs w:val="22"/>
        </w:rPr>
        <w:t xml:space="preserve"> “This has led to considerable uncertainty for innovators and the legal community, as well as an overly cautious and restrictive approach to determining eligibility for patentable subject matter in areas such as biotech, business methods, and computer-implemented inventions.”</w:t>
      </w:r>
      <w:r w:rsidRPr="00940709">
        <w:rPr>
          <w:rStyle w:val="FootnoteReference"/>
          <w:rFonts w:cs="Times New Roman"/>
          <w:sz w:val="22"/>
          <w:szCs w:val="22"/>
        </w:rPr>
        <w:footnoteReference w:id="14"/>
      </w:r>
    </w:p>
    <w:p w14:paraId="038AD845" w14:textId="77777777" w:rsidR="00716631" w:rsidRPr="00940709" w:rsidRDefault="00716631" w:rsidP="00716631">
      <w:pPr>
        <w:pStyle w:val="BlockText"/>
        <w:ind w:left="0"/>
        <w:rPr>
          <w:rFonts w:cs="Times New Roman"/>
          <w:sz w:val="22"/>
          <w:szCs w:val="22"/>
        </w:rPr>
      </w:pPr>
    </w:p>
    <w:p w14:paraId="00977C1A" w14:textId="77777777" w:rsidR="00716631" w:rsidRPr="00940709" w:rsidRDefault="00716631" w:rsidP="00716631">
      <w:pPr>
        <w:rPr>
          <w:rFonts w:cs="Times New Roman"/>
          <w:szCs w:val="24"/>
        </w:rPr>
      </w:pPr>
      <w:r w:rsidRPr="00940709">
        <w:rPr>
          <w:rFonts w:cs="Times New Roman"/>
          <w:b/>
          <w:bCs/>
          <w:sz w:val="22"/>
          <w:szCs w:val="22"/>
          <w:u w:val="single"/>
        </w:rPr>
        <w:t>Congressional Research Service</w:t>
      </w:r>
      <w:r w:rsidRPr="00940709">
        <w:rPr>
          <w:rFonts w:cs="Times New Roman"/>
          <w:b/>
          <w:bCs/>
          <w:sz w:val="22"/>
          <w:szCs w:val="22"/>
        </w:rPr>
        <w:t>:</w:t>
      </w:r>
      <w:r w:rsidRPr="00940709">
        <w:rPr>
          <w:rFonts w:cs="Times New Roman"/>
          <w:sz w:val="22"/>
          <w:szCs w:val="22"/>
        </w:rPr>
        <w:t xml:space="preserve"> “The number of opinions in </w:t>
      </w:r>
      <w:r w:rsidRPr="00940709">
        <w:rPr>
          <w:rFonts w:cs="Times New Roman"/>
          <w:i/>
          <w:sz w:val="22"/>
          <w:szCs w:val="22"/>
        </w:rPr>
        <w:t>Athena</w:t>
      </w:r>
      <w:r w:rsidRPr="00940709">
        <w:rPr>
          <w:rFonts w:cs="Times New Roman"/>
          <w:sz w:val="22"/>
          <w:szCs w:val="22"/>
        </w:rPr>
        <w:t xml:space="preserve"> indicates that although the judges are divided on what should be done in view of current Supreme Court precedent, they view the section 101 issue as extremely important.”</w:t>
      </w:r>
      <w:r w:rsidRPr="00940709">
        <w:rPr>
          <w:rStyle w:val="FootnoteReference"/>
          <w:rFonts w:cs="Times New Roman"/>
          <w:sz w:val="22"/>
          <w:szCs w:val="22"/>
        </w:rPr>
        <w:footnoteReference w:id="15"/>
      </w:r>
      <w:r w:rsidRPr="00940709">
        <w:rPr>
          <w:rFonts w:cs="Times New Roman"/>
          <w:szCs w:val="24"/>
        </w:rPr>
        <w:t xml:space="preserve"> </w:t>
      </w:r>
    </w:p>
    <w:p w14:paraId="52F06532" w14:textId="1952AEA6" w:rsidR="00F50ACD" w:rsidRDefault="00000000" w:rsidP="00CA53FA"/>
    <w:sectPr w:rsidR="00F50ACD" w:rsidSect="00D713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A158" w14:textId="77777777" w:rsidR="00B002FB" w:rsidRDefault="00B002FB" w:rsidP="00CA53FA">
      <w:pPr>
        <w:spacing w:after="0" w:line="240" w:lineRule="auto"/>
      </w:pPr>
      <w:r>
        <w:separator/>
      </w:r>
    </w:p>
  </w:endnote>
  <w:endnote w:type="continuationSeparator" w:id="0">
    <w:p w14:paraId="1BFDCA4E" w14:textId="77777777" w:rsidR="00B002FB" w:rsidRDefault="00B002FB" w:rsidP="00CA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852C" w14:textId="77777777" w:rsidR="00B002FB" w:rsidRDefault="00B002FB" w:rsidP="00CA53FA">
      <w:pPr>
        <w:spacing w:after="0" w:line="240" w:lineRule="auto"/>
      </w:pPr>
      <w:r>
        <w:separator/>
      </w:r>
    </w:p>
  </w:footnote>
  <w:footnote w:type="continuationSeparator" w:id="0">
    <w:p w14:paraId="41B9BDE9" w14:textId="77777777" w:rsidR="00B002FB" w:rsidRDefault="00B002FB" w:rsidP="00CA53FA">
      <w:pPr>
        <w:spacing w:after="0" w:line="240" w:lineRule="auto"/>
      </w:pPr>
      <w:r>
        <w:continuationSeparator/>
      </w:r>
    </w:p>
  </w:footnote>
  <w:footnote w:id="1">
    <w:p w14:paraId="6458B594" w14:textId="77777777" w:rsidR="00CA53FA" w:rsidRPr="006B664C" w:rsidRDefault="00CA53FA" w:rsidP="00CA53FA">
      <w:pPr>
        <w:pStyle w:val="FootnoteText"/>
        <w:spacing w:afterLines="60" w:after="144"/>
        <w:rPr>
          <w:rFonts w:cs="Calibri"/>
        </w:rPr>
      </w:pPr>
      <w:r w:rsidRPr="006B664C">
        <w:rPr>
          <w:rStyle w:val="FootnoteReference"/>
        </w:rPr>
        <w:footnoteRef/>
      </w:r>
      <w:r w:rsidRPr="006B664C">
        <w:t xml:space="preserve"> </w:t>
      </w:r>
      <w:r w:rsidRPr="006B664C">
        <w:rPr>
          <w:i/>
          <w:iCs/>
        </w:rPr>
        <w:t xml:space="preserve">American Axle &amp; Mfg., Inc. v. </w:t>
      </w:r>
      <w:proofErr w:type="spellStart"/>
      <w:r w:rsidRPr="006B664C">
        <w:rPr>
          <w:i/>
          <w:iCs/>
        </w:rPr>
        <w:t>Neapco</w:t>
      </w:r>
      <w:proofErr w:type="spellEnd"/>
      <w:r w:rsidRPr="006B664C">
        <w:rPr>
          <w:i/>
          <w:iCs/>
        </w:rPr>
        <w:t xml:space="preserve"> Holdings, LLC</w:t>
      </w:r>
      <w:r w:rsidRPr="006B664C">
        <w:t>, 966 F.3d 1347, 1357 (Fed. Cir. 2020) (Moore, J., dissenting).</w:t>
      </w:r>
    </w:p>
  </w:footnote>
  <w:footnote w:id="2">
    <w:p w14:paraId="3A3AD737" w14:textId="77777777" w:rsidR="00CA53FA" w:rsidRPr="006B664C" w:rsidRDefault="00CA53FA" w:rsidP="00CA53FA">
      <w:pPr>
        <w:pStyle w:val="FootnoteText"/>
        <w:spacing w:afterLines="60" w:after="144"/>
      </w:pPr>
      <w:r w:rsidRPr="006B664C">
        <w:rPr>
          <w:rStyle w:val="FootnoteReference"/>
        </w:rPr>
        <w:footnoteRef/>
      </w:r>
      <w:r w:rsidRPr="006B664C">
        <w:t xml:space="preserve"> </w:t>
      </w:r>
      <w:r w:rsidRPr="006B664C">
        <w:rPr>
          <w:i/>
          <w:iCs/>
        </w:rPr>
        <w:t>Athena Diagnostics, Inc. v. Mayo Collaborative Services, LLC</w:t>
      </w:r>
      <w:r w:rsidRPr="006B664C">
        <w:t>, 927 F.3d 1333, 1337 (Fed. Cir. 2019)</w:t>
      </w:r>
      <w:r w:rsidRPr="006B664C">
        <w:rPr>
          <w:i/>
          <w:iCs/>
        </w:rPr>
        <w:t xml:space="preserve"> </w:t>
      </w:r>
      <w:r w:rsidRPr="006B664C">
        <w:t>(Hughes, J., concurring).</w:t>
      </w:r>
    </w:p>
  </w:footnote>
  <w:footnote w:id="3">
    <w:p w14:paraId="7E5F3AC2" w14:textId="77777777" w:rsidR="00CA53FA" w:rsidRPr="006B664C" w:rsidRDefault="00CA53FA" w:rsidP="00CA53FA">
      <w:pPr>
        <w:pStyle w:val="FootnoteText"/>
        <w:spacing w:afterLines="60" w:after="144"/>
      </w:pPr>
      <w:r w:rsidRPr="006B664C">
        <w:rPr>
          <w:rStyle w:val="FootnoteReference"/>
        </w:rPr>
        <w:footnoteRef/>
      </w:r>
      <w:r w:rsidRPr="006B664C">
        <w:t xml:space="preserve"> </w:t>
      </w:r>
      <w:proofErr w:type="spellStart"/>
      <w:r w:rsidRPr="006B664C">
        <w:rPr>
          <w:i/>
          <w:iCs/>
        </w:rPr>
        <w:t>Ariosa</w:t>
      </w:r>
      <w:proofErr w:type="spellEnd"/>
      <w:r w:rsidRPr="006B664C">
        <w:rPr>
          <w:i/>
          <w:iCs/>
        </w:rPr>
        <w:t xml:space="preserve"> Diagnostics, Inc. v. </w:t>
      </w:r>
      <w:proofErr w:type="spellStart"/>
      <w:r w:rsidRPr="006B664C">
        <w:rPr>
          <w:i/>
          <w:iCs/>
        </w:rPr>
        <w:t>Sequenom</w:t>
      </w:r>
      <w:proofErr w:type="spellEnd"/>
      <w:r w:rsidRPr="006B664C">
        <w:rPr>
          <w:i/>
          <w:iCs/>
        </w:rPr>
        <w:t>, Inc.</w:t>
      </w:r>
      <w:r w:rsidRPr="006B664C">
        <w:t xml:space="preserve">, 788 F.3d 1371, 1381 (Fed. Cir. 2015) (Linn, J., concurring). </w:t>
      </w:r>
    </w:p>
  </w:footnote>
  <w:footnote w:id="4">
    <w:p w14:paraId="265E2641" w14:textId="77777777" w:rsidR="00CA53FA" w:rsidRPr="006B664C" w:rsidRDefault="00CA53FA" w:rsidP="00CA53FA">
      <w:pPr>
        <w:pStyle w:val="FootnoteText"/>
        <w:spacing w:afterLines="60" w:after="144"/>
      </w:pPr>
      <w:r w:rsidRPr="006B664C">
        <w:rPr>
          <w:rStyle w:val="FootnoteReference"/>
        </w:rPr>
        <w:footnoteRef/>
      </w:r>
      <w:r w:rsidRPr="006B664C">
        <w:t xml:space="preserve"> </w:t>
      </w:r>
      <w:r w:rsidRPr="006B664C">
        <w:rPr>
          <w:i/>
          <w:iCs/>
        </w:rPr>
        <w:t>Interval Licensing LLC v. AOL, Inc.</w:t>
      </w:r>
      <w:r w:rsidRPr="006B664C">
        <w:t>, 896 F.3d 1335, 1348 (Fed. Cir. 2018) (</w:t>
      </w:r>
      <w:proofErr w:type="spellStart"/>
      <w:r w:rsidRPr="006B664C">
        <w:t>Plager</w:t>
      </w:r>
      <w:proofErr w:type="spellEnd"/>
      <w:r w:rsidRPr="006B664C">
        <w:t>, J., concurring-in-part, dissenting-in-part).</w:t>
      </w:r>
    </w:p>
  </w:footnote>
  <w:footnote w:id="5">
    <w:p w14:paraId="04EE562C" w14:textId="77777777" w:rsidR="00CA53FA" w:rsidRPr="006B664C" w:rsidRDefault="00CA53FA" w:rsidP="00CA53FA">
      <w:pPr>
        <w:pStyle w:val="FootnoteText"/>
        <w:spacing w:afterLines="60" w:after="144"/>
      </w:pPr>
      <w:r w:rsidRPr="006B664C">
        <w:rPr>
          <w:rStyle w:val="FootnoteReference"/>
        </w:rPr>
        <w:footnoteRef/>
      </w:r>
      <w:r w:rsidRPr="006B664C">
        <w:t xml:space="preserve"> </w:t>
      </w:r>
      <w:r w:rsidRPr="006B664C">
        <w:rPr>
          <w:i/>
          <w:iCs/>
        </w:rPr>
        <w:t>Athena Diagnostics</w:t>
      </w:r>
      <w:r w:rsidRPr="006B664C">
        <w:t>, 927 F.3d at 1334 (Lourie, J., concurring).</w:t>
      </w:r>
    </w:p>
  </w:footnote>
  <w:footnote w:id="6">
    <w:p w14:paraId="466C7F32" w14:textId="77777777" w:rsidR="00CA53FA" w:rsidRPr="006B664C" w:rsidRDefault="00CA53FA" w:rsidP="00CA53FA">
      <w:pPr>
        <w:pStyle w:val="FootnoteText"/>
        <w:spacing w:afterLines="60" w:after="144"/>
      </w:pPr>
      <w:r w:rsidRPr="006B664C">
        <w:rPr>
          <w:rStyle w:val="FootnoteReference"/>
        </w:rPr>
        <w:footnoteRef/>
      </w:r>
      <w:r w:rsidRPr="006B664C">
        <w:t xml:space="preserve"> </w:t>
      </w:r>
      <w:r w:rsidRPr="006B664C">
        <w:rPr>
          <w:i/>
          <w:iCs/>
        </w:rPr>
        <w:t>American Axle</w:t>
      </w:r>
      <w:r w:rsidRPr="006B664C">
        <w:t xml:space="preserve">, 966 F.3d at 1357 (Newman, J., dissenting in denial of rehearing </w:t>
      </w:r>
      <w:proofErr w:type="spellStart"/>
      <w:r w:rsidRPr="006B664C">
        <w:rPr>
          <w:i/>
          <w:iCs/>
        </w:rPr>
        <w:t>en</w:t>
      </w:r>
      <w:proofErr w:type="spellEnd"/>
      <w:r w:rsidRPr="006B664C">
        <w:rPr>
          <w:i/>
          <w:iCs/>
        </w:rPr>
        <w:t xml:space="preserve"> banc</w:t>
      </w:r>
      <w:r w:rsidRPr="006B664C">
        <w:t>).</w:t>
      </w:r>
    </w:p>
  </w:footnote>
  <w:footnote w:id="7">
    <w:p w14:paraId="1402D134" w14:textId="77777777" w:rsidR="00716631" w:rsidRPr="006B664C" w:rsidRDefault="00716631" w:rsidP="00716631">
      <w:pPr>
        <w:pStyle w:val="FootnoteText"/>
        <w:spacing w:afterLines="60" w:after="144"/>
      </w:pPr>
      <w:r w:rsidRPr="006B664C">
        <w:rPr>
          <w:rStyle w:val="FootnoteReference"/>
        </w:rPr>
        <w:footnoteRef/>
      </w:r>
      <w:r w:rsidRPr="006B664C">
        <w:t xml:space="preserve"> </w:t>
      </w:r>
      <w:proofErr w:type="spellStart"/>
      <w:r w:rsidRPr="006B664C">
        <w:rPr>
          <w:i/>
          <w:iCs/>
        </w:rPr>
        <w:t>Ariosa</w:t>
      </w:r>
      <w:proofErr w:type="spellEnd"/>
      <w:r w:rsidRPr="006B664C">
        <w:rPr>
          <w:i/>
          <w:iCs/>
        </w:rPr>
        <w:t xml:space="preserve"> Diagnostics, Inc. v. </w:t>
      </w:r>
      <w:proofErr w:type="spellStart"/>
      <w:r w:rsidRPr="006B664C">
        <w:rPr>
          <w:i/>
          <w:iCs/>
        </w:rPr>
        <w:t>Sequenom</w:t>
      </w:r>
      <w:proofErr w:type="spellEnd"/>
      <w:r w:rsidRPr="006B664C">
        <w:rPr>
          <w:i/>
          <w:iCs/>
        </w:rPr>
        <w:t>, Inc.</w:t>
      </w:r>
      <w:r w:rsidRPr="006B664C">
        <w:t xml:space="preserve">, 809 F.3d 1282, 1287 (Fed. Cir. 2015) (Dyk, J., concurring in the denial of the petition for rehearing </w:t>
      </w:r>
      <w:proofErr w:type="spellStart"/>
      <w:r w:rsidRPr="006B664C">
        <w:t>en</w:t>
      </w:r>
      <w:proofErr w:type="spellEnd"/>
      <w:r w:rsidRPr="006B664C">
        <w:t xml:space="preserve"> banc).</w:t>
      </w:r>
    </w:p>
  </w:footnote>
  <w:footnote w:id="8">
    <w:p w14:paraId="4B206286" w14:textId="77777777" w:rsidR="00716631" w:rsidRPr="006B664C" w:rsidRDefault="00716631" w:rsidP="00716631">
      <w:pPr>
        <w:pStyle w:val="FootnoteText"/>
        <w:spacing w:afterLines="60" w:after="144"/>
      </w:pPr>
      <w:r w:rsidRPr="006B664C">
        <w:rPr>
          <w:rStyle w:val="FootnoteReference"/>
        </w:rPr>
        <w:footnoteRef/>
      </w:r>
      <w:r w:rsidRPr="006B664C">
        <w:t xml:space="preserve"> </w:t>
      </w:r>
      <w:r w:rsidRPr="006B664C">
        <w:rPr>
          <w:i/>
          <w:iCs/>
        </w:rPr>
        <w:t xml:space="preserve">Hearing Before the </w:t>
      </w:r>
      <w:proofErr w:type="spellStart"/>
      <w:r w:rsidRPr="006B664C">
        <w:rPr>
          <w:i/>
          <w:iCs/>
        </w:rPr>
        <w:t>Subcomm</w:t>
      </w:r>
      <w:proofErr w:type="spellEnd"/>
      <w:r w:rsidRPr="006B664C">
        <w:rPr>
          <w:i/>
          <w:iCs/>
        </w:rPr>
        <w:t>. on Intellectual Prop</w:t>
      </w:r>
      <w:r>
        <w:rPr>
          <w:i/>
          <w:iCs/>
        </w:rPr>
        <w:t>.</w:t>
      </w:r>
      <w:r w:rsidRPr="006B664C">
        <w:rPr>
          <w:i/>
          <w:iCs/>
        </w:rPr>
        <w:t xml:space="preserve"> of the S. Comm. on the Judiciary</w:t>
      </w:r>
      <w:r w:rsidRPr="006B664C">
        <w:t>, 116th Cong. (2019) (statement of Hon. Paul R. Michel).</w:t>
      </w:r>
    </w:p>
  </w:footnote>
  <w:footnote w:id="9">
    <w:p w14:paraId="34709615" w14:textId="77777777" w:rsidR="00716631" w:rsidRPr="006B664C" w:rsidRDefault="00716631" w:rsidP="00716631">
      <w:pPr>
        <w:pStyle w:val="FootnoteText"/>
        <w:spacing w:afterLines="60" w:after="144"/>
      </w:pPr>
      <w:r w:rsidRPr="006B664C">
        <w:rPr>
          <w:rStyle w:val="FootnoteReference"/>
        </w:rPr>
        <w:footnoteRef/>
      </w:r>
      <w:r w:rsidRPr="006B664C">
        <w:t xml:space="preserve"> </w:t>
      </w:r>
      <w:r>
        <w:t xml:space="preserve">Richard Llyod, </w:t>
      </w:r>
      <w:r>
        <w:rPr>
          <w:i/>
          <w:iCs/>
        </w:rPr>
        <w:t>Unprecedented Congressional engagement on patent eligibility reform, but don’t bet on a rush to legislation</w:t>
      </w:r>
      <w:r>
        <w:t xml:space="preserve">, IAM, </w:t>
      </w:r>
      <w:hyperlink r:id="rId1" w:history="1">
        <w:r w:rsidRPr="006B664C">
          <w:rPr>
            <w:rStyle w:val="Hyperlink"/>
          </w:rPr>
          <w:t>https://www.iam-media.com/law-policy/series-congressional-hearings-point-unprecedented-engagement-101</w:t>
        </w:r>
      </w:hyperlink>
      <w:r w:rsidRPr="006B664C">
        <w:t xml:space="preserve">. </w:t>
      </w:r>
    </w:p>
  </w:footnote>
  <w:footnote w:id="10">
    <w:p w14:paraId="5E3A7094" w14:textId="77777777" w:rsidR="00716631" w:rsidRPr="006B664C" w:rsidRDefault="00716631" w:rsidP="00716631">
      <w:pPr>
        <w:pStyle w:val="FootnoteText"/>
        <w:spacing w:afterLines="60" w:after="144"/>
      </w:pPr>
      <w:r w:rsidRPr="006B664C">
        <w:rPr>
          <w:rStyle w:val="FootnoteReference"/>
        </w:rPr>
        <w:footnoteRef/>
      </w:r>
      <w:r w:rsidRPr="006B664C">
        <w:t xml:space="preserve"> </w:t>
      </w:r>
      <w:r w:rsidRPr="00EA6B7C">
        <w:t>Press Release from Sen. Chris Coons, Sens. Coons and Tillis and Reps. Collins, Johnson, and Stivers Release Section 101 Patent Reform Framework (Apr. 17, 2019), https://www.coons.senate.gov/news/press-releases/sens-coons-and-tillis-and-reps-collins-johnson-and-stivers-release-section-101-patent-reform-framework.</w:t>
      </w:r>
    </w:p>
  </w:footnote>
  <w:footnote w:id="11">
    <w:p w14:paraId="02FDCC84" w14:textId="77777777" w:rsidR="00716631" w:rsidRPr="006B664C" w:rsidRDefault="00716631" w:rsidP="00716631">
      <w:pPr>
        <w:pStyle w:val="FootnoteText"/>
        <w:spacing w:afterLines="60" w:after="144"/>
      </w:pPr>
      <w:r w:rsidRPr="006B664C">
        <w:rPr>
          <w:rStyle w:val="FootnoteReference"/>
        </w:rPr>
        <w:footnoteRef/>
      </w:r>
      <w:r w:rsidRPr="006B664C">
        <w:t xml:space="preserve"> </w:t>
      </w:r>
      <w:r w:rsidRPr="006B664C">
        <w:rPr>
          <w:i/>
          <w:iCs/>
        </w:rPr>
        <w:t>Id.</w:t>
      </w:r>
      <w:r w:rsidRPr="006B664C">
        <w:t xml:space="preserve"> </w:t>
      </w:r>
      <w:hyperlink w:history="1"/>
    </w:p>
  </w:footnote>
  <w:footnote w:id="12">
    <w:p w14:paraId="5D9B82E6" w14:textId="77777777" w:rsidR="00716631" w:rsidRPr="006B664C" w:rsidRDefault="00716631" w:rsidP="00716631">
      <w:pPr>
        <w:pStyle w:val="FootnoteText"/>
        <w:spacing w:afterLines="60" w:after="144"/>
      </w:pPr>
      <w:r w:rsidRPr="006B664C">
        <w:rPr>
          <w:rStyle w:val="FootnoteReference"/>
        </w:rPr>
        <w:footnoteRef/>
      </w:r>
      <w:r w:rsidRPr="006B664C">
        <w:t xml:space="preserve"> </w:t>
      </w:r>
      <w:r w:rsidRPr="006B664C">
        <w:rPr>
          <w:i/>
          <w:iCs/>
        </w:rPr>
        <w:t xml:space="preserve">Hearing Before the </w:t>
      </w:r>
      <w:proofErr w:type="spellStart"/>
      <w:r w:rsidRPr="006B664C">
        <w:rPr>
          <w:i/>
          <w:iCs/>
        </w:rPr>
        <w:t>Subcomm</w:t>
      </w:r>
      <w:proofErr w:type="spellEnd"/>
      <w:r w:rsidRPr="006B664C">
        <w:rPr>
          <w:i/>
          <w:iCs/>
        </w:rPr>
        <w:t>. on Intellectual Prop</w:t>
      </w:r>
      <w:r>
        <w:rPr>
          <w:i/>
          <w:iCs/>
        </w:rPr>
        <w:t xml:space="preserve">. </w:t>
      </w:r>
      <w:r w:rsidRPr="006B664C">
        <w:rPr>
          <w:i/>
          <w:iCs/>
        </w:rPr>
        <w:t>of the S. Comm. on the Judiciary</w:t>
      </w:r>
      <w:r w:rsidRPr="006B664C">
        <w:t>, 116</w:t>
      </w:r>
      <w:r w:rsidRPr="006B664C">
        <w:rPr>
          <w:vertAlign w:val="superscript"/>
        </w:rPr>
        <w:t>th</w:t>
      </w:r>
      <w:r w:rsidRPr="006B664C">
        <w:t xml:space="preserve"> Cong. (2019) (statement of David J. </w:t>
      </w:r>
      <w:proofErr w:type="spellStart"/>
      <w:r w:rsidRPr="006B664C">
        <w:t>Kappos</w:t>
      </w:r>
      <w:proofErr w:type="spellEnd"/>
      <w:r w:rsidRPr="006B664C">
        <w:t>).</w:t>
      </w:r>
    </w:p>
  </w:footnote>
  <w:footnote w:id="13">
    <w:p w14:paraId="31F98C12" w14:textId="77777777" w:rsidR="00716631" w:rsidRPr="006B664C" w:rsidRDefault="00716631" w:rsidP="00716631">
      <w:pPr>
        <w:pStyle w:val="FootnoteText"/>
        <w:spacing w:afterLines="60" w:after="144"/>
      </w:pPr>
      <w:r w:rsidRPr="006B664C">
        <w:rPr>
          <w:rStyle w:val="FootnoteReference"/>
        </w:rPr>
        <w:footnoteRef/>
      </w:r>
      <w:r w:rsidRPr="006B664C">
        <w:t xml:space="preserve"> </w:t>
      </w:r>
      <w:r>
        <w:rPr>
          <w:i/>
          <w:iCs/>
        </w:rPr>
        <w:t xml:space="preserve">Patentable </w:t>
      </w:r>
      <w:proofErr w:type="spellStart"/>
      <w:r>
        <w:rPr>
          <w:i/>
          <w:iCs/>
        </w:rPr>
        <w:t>Sybject</w:t>
      </w:r>
      <w:proofErr w:type="spellEnd"/>
      <w:r>
        <w:rPr>
          <w:i/>
          <w:iCs/>
        </w:rPr>
        <w:t xml:space="preserve"> Matter Reform: </w:t>
      </w:r>
      <w:r w:rsidRPr="006B664C">
        <w:rPr>
          <w:i/>
          <w:iCs/>
        </w:rPr>
        <w:t>Hearing Before the S. Comm. on the Judiciary</w:t>
      </w:r>
      <w:r w:rsidRPr="006B664C">
        <w:t>, 116</w:t>
      </w:r>
      <w:r w:rsidRPr="006B664C">
        <w:rPr>
          <w:vertAlign w:val="superscript"/>
        </w:rPr>
        <w:t>th</w:t>
      </w:r>
      <w:r w:rsidRPr="006B664C">
        <w:t xml:space="preserve"> Cong. (2019) (</w:t>
      </w:r>
      <w:r>
        <w:t>testimony of Mark A. Lemley, Stanford Law School</w:t>
      </w:r>
      <w:r w:rsidRPr="006B664C">
        <w:t>)</w:t>
      </w:r>
      <w:r>
        <w:t xml:space="preserve">, </w:t>
      </w:r>
      <w:hyperlink r:id="rId2" w:history="1">
        <w:r w:rsidRPr="006B664C">
          <w:rPr>
            <w:rStyle w:val="Hyperlink"/>
          </w:rPr>
          <w:t>https://www.judiciary.senate.gov/imo/media/doc/Lemley%20Testimony.pdf</w:t>
        </w:r>
      </w:hyperlink>
      <w:r w:rsidRPr="006B664C">
        <w:t xml:space="preserve">. </w:t>
      </w:r>
    </w:p>
  </w:footnote>
  <w:footnote w:id="14">
    <w:p w14:paraId="4E80AB4A" w14:textId="77777777" w:rsidR="00716631" w:rsidRPr="006B664C" w:rsidRDefault="00716631" w:rsidP="00716631">
      <w:pPr>
        <w:pStyle w:val="FootnoteText"/>
        <w:spacing w:afterLines="60" w:after="144"/>
      </w:pPr>
      <w:r w:rsidRPr="006B664C">
        <w:rPr>
          <w:rStyle w:val="FootnoteReference"/>
        </w:rPr>
        <w:footnoteRef/>
      </w:r>
      <w:r w:rsidRPr="006B664C">
        <w:t xml:space="preserve"> </w:t>
      </w:r>
      <w:hyperlink r:id="rId3" w:history="1">
        <w:r w:rsidRPr="006B664C">
          <w:rPr>
            <w:rStyle w:val="Hyperlink"/>
          </w:rPr>
          <w:t>https://www.judiciary.senate.gov/download/kilbride-testimony</w:t>
        </w:r>
      </w:hyperlink>
      <w:r w:rsidRPr="006B664C">
        <w:t xml:space="preserve">. </w:t>
      </w:r>
    </w:p>
  </w:footnote>
  <w:footnote w:id="15">
    <w:p w14:paraId="3938186A" w14:textId="77777777" w:rsidR="00716631" w:rsidRPr="006B664C" w:rsidRDefault="00716631" w:rsidP="00716631">
      <w:pPr>
        <w:pStyle w:val="FootnoteText"/>
        <w:spacing w:afterLines="60" w:after="144"/>
      </w:pPr>
      <w:r w:rsidRPr="006B664C">
        <w:rPr>
          <w:rStyle w:val="FootnoteReference"/>
        </w:rPr>
        <w:footnoteRef/>
      </w:r>
      <w:r w:rsidRPr="006B664C">
        <w:t xml:space="preserve"> </w:t>
      </w:r>
      <w:r w:rsidRPr="00551A5E">
        <w:t>Cong. Research Serv.</w:t>
      </w:r>
      <w:r w:rsidRPr="007427D4">
        <w:t xml:space="preserve">, LSB10344, </w:t>
      </w:r>
      <w:r w:rsidRPr="00551A5E">
        <w:rPr>
          <w:i/>
          <w:iCs/>
        </w:rPr>
        <w:t>Judges Urge Congress to Revise What Can Be Patented</w:t>
      </w:r>
      <w:r w:rsidRPr="006B664C">
        <w:t xml:space="preserve"> (2020), </w:t>
      </w:r>
      <w:hyperlink r:id="rId4" w:history="1">
        <w:r w:rsidRPr="006B664C">
          <w:rPr>
            <w:rStyle w:val="Hyperlink"/>
          </w:rPr>
          <w:t>https://crsreports.congress.gov/product/pdf/LSB/LSB10344/5</w:t>
        </w:r>
      </w:hyperlink>
      <w:r w:rsidRPr="006B664C">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FA"/>
    <w:rsid w:val="00716631"/>
    <w:rsid w:val="00B002FB"/>
    <w:rsid w:val="00B2035F"/>
    <w:rsid w:val="00CA53FA"/>
    <w:rsid w:val="00D7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67A3E"/>
  <w14:defaultImageDpi w14:val="32767"/>
  <w15:chartTrackingRefBased/>
  <w15:docId w15:val="{1586D2AF-3746-2241-80C8-F308A1AB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3FA"/>
    <w:pPr>
      <w:spacing w:after="160" w:line="259" w:lineRule="auto"/>
    </w:pPr>
    <w:rPr>
      <w:rFonts w:ascii="Times New Roman" w:hAnsi="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FA"/>
    <w:pPr>
      <w:ind w:left="720"/>
      <w:contextualSpacing/>
    </w:pPr>
  </w:style>
  <w:style w:type="paragraph" w:styleId="FootnoteText">
    <w:name w:val="footnote text"/>
    <w:basedOn w:val="Normal"/>
    <w:link w:val="FootnoteTextChar"/>
    <w:uiPriority w:val="99"/>
    <w:unhideWhenUsed/>
    <w:rsid w:val="00CA53FA"/>
    <w:pPr>
      <w:spacing w:after="0" w:line="240" w:lineRule="auto"/>
    </w:pPr>
    <w:rPr>
      <w:sz w:val="21"/>
    </w:rPr>
  </w:style>
  <w:style w:type="character" w:customStyle="1" w:styleId="FootnoteTextChar">
    <w:name w:val="Footnote Text Char"/>
    <w:basedOn w:val="DefaultParagraphFont"/>
    <w:link w:val="FootnoteText"/>
    <w:uiPriority w:val="99"/>
    <w:rsid w:val="00CA53FA"/>
    <w:rPr>
      <w:rFonts w:ascii="Times New Roman" w:hAnsi="Times New Roman" w:cs="Arial"/>
      <w:sz w:val="21"/>
      <w:szCs w:val="20"/>
    </w:rPr>
  </w:style>
  <w:style w:type="character" w:styleId="FootnoteReference">
    <w:name w:val="footnote reference"/>
    <w:basedOn w:val="DefaultParagraphFont"/>
    <w:uiPriority w:val="99"/>
    <w:semiHidden/>
    <w:unhideWhenUsed/>
    <w:rsid w:val="00CA53FA"/>
    <w:rPr>
      <w:vertAlign w:val="superscript"/>
    </w:rPr>
  </w:style>
  <w:style w:type="paragraph" w:styleId="BlockText">
    <w:name w:val="Block Text"/>
    <w:basedOn w:val="Normal"/>
    <w:uiPriority w:val="99"/>
    <w:unhideWhenUsed/>
    <w:rsid w:val="00CA53FA"/>
    <w:pPr>
      <w:spacing w:after="0" w:line="240" w:lineRule="auto"/>
      <w:ind w:left="1152" w:right="1152"/>
    </w:pPr>
    <w:rPr>
      <w:rFonts w:eastAsiaTheme="minorEastAsia" w:cstheme="minorBidi"/>
      <w:iCs/>
      <w:szCs w:val="24"/>
    </w:rPr>
  </w:style>
  <w:style w:type="character" w:styleId="Hyperlink">
    <w:name w:val="Hyperlink"/>
    <w:basedOn w:val="DefaultParagraphFont"/>
    <w:uiPriority w:val="99"/>
    <w:unhideWhenUsed/>
    <w:rsid w:val="00716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judiciary.senate.gov/download/kilbride-testimony" TargetMode="External"/><Relationship Id="rId2" Type="http://schemas.openxmlformats.org/officeDocument/2006/relationships/hyperlink" Target="https://www.judiciary.senate.gov/imo/media/doc/Lemley%20Testimony.pdf" TargetMode="External"/><Relationship Id="rId1" Type="http://schemas.openxmlformats.org/officeDocument/2006/relationships/hyperlink" Target="https://www.iam-media.com/law-policy/series-congressional-hearings-point-unprecedented-engagement-101" TargetMode="External"/><Relationship Id="rId4" Type="http://schemas.openxmlformats.org/officeDocument/2006/relationships/hyperlink" Target="https://crsreports.congress.gov/product/pdf/LSB/LSB103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Eileen (UK)</dc:creator>
  <cp:keywords/>
  <dc:description/>
  <cp:lastModifiedBy>McDermott, Eileen (UK)</cp:lastModifiedBy>
  <cp:revision>2</cp:revision>
  <dcterms:created xsi:type="dcterms:W3CDTF">2022-10-06T11:47:00Z</dcterms:created>
  <dcterms:modified xsi:type="dcterms:W3CDTF">2022-10-06T11:49:00Z</dcterms:modified>
</cp:coreProperties>
</file>