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EEF" w:rsidRDefault="002267DA">
      <w:pPr>
        <w:spacing w:before="952" w:after="119" w:line="327" w:lineRule="exact"/>
        <w:jc w:val="center"/>
        <w:textAlignment w:val="baseline"/>
        <w:rPr>
          <w:rFonts w:ascii="Garamond" w:eastAsia="Garamond" w:hAnsi="Garamond"/>
          <w:b/>
          <w:color w:val="000000"/>
          <w:spacing w:val="18"/>
          <w:sz w:val="30"/>
        </w:rPr>
      </w:pPr>
      <w:r>
        <w:rPr>
          <w:rFonts w:ascii="Garamond" w:eastAsia="Garamond" w:hAnsi="Garamond"/>
          <w:b/>
          <w:color w:val="000000"/>
          <w:spacing w:val="18"/>
          <w:sz w:val="30"/>
        </w:rPr>
        <w:t>201</w:t>
      </w:r>
      <w:r w:rsidR="00B974A9">
        <w:rPr>
          <w:rFonts w:ascii="Garamond" w:eastAsia="Garamond" w:hAnsi="Garamond"/>
          <w:b/>
          <w:color w:val="000000"/>
          <w:spacing w:val="18"/>
          <w:sz w:val="30"/>
        </w:rPr>
        <w:t>9</w:t>
      </w:r>
      <w:r>
        <w:rPr>
          <w:rFonts w:ascii="Garamond" w:eastAsia="Garamond" w:hAnsi="Garamond"/>
          <w:b/>
          <w:color w:val="000000"/>
          <w:spacing w:val="18"/>
          <w:sz w:val="30"/>
        </w:rPr>
        <w:t>-</w:t>
      </w:r>
      <w:r w:rsidR="00B974A9">
        <w:rPr>
          <w:rFonts w:ascii="Garamond" w:eastAsia="Garamond" w:hAnsi="Garamond"/>
          <w:b/>
          <w:color w:val="000000"/>
          <w:spacing w:val="18"/>
          <w:sz w:val="30"/>
        </w:rPr>
        <w:t>1291</w:t>
      </w:r>
    </w:p>
    <w:p w:rsidR="006E08AA" w:rsidRDefault="006E08AA">
      <w:pPr>
        <w:spacing w:before="294" w:line="463" w:lineRule="exact"/>
        <w:jc w:val="center"/>
        <w:textAlignment w:val="baseline"/>
        <w:rPr>
          <w:rFonts w:ascii="Cambria" w:eastAsia="Cambria" w:hAnsi="Cambria"/>
          <w:color w:val="000000"/>
          <w:spacing w:val="3"/>
          <w:sz w:val="43"/>
        </w:rPr>
      </w:pPr>
    </w:p>
    <w:p w:rsidR="000C6EEF" w:rsidRDefault="002267DA">
      <w:pPr>
        <w:spacing w:before="294" w:line="463" w:lineRule="exact"/>
        <w:jc w:val="center"/>
        <w:textAlignment w:val="baseline"/>
        <w:rPr>
          <w:rFonts w:ascii="Cambria" w:eastAsia="Cambria" w:hAnsi="Cambria"/>
          <w:color w:val="000000"/>
          <w:spacing w:val="3"/>
          <w:sz w:val="43"/>
        </w:rPr>
      </w:pPr>
      <w:r>
        <w:rPr>
          <w:noProof/>
        </w:rPr>
        <mc:AlternateContent>
          <mc:Choice Requires="wps">
            <w:drawing>
              <wp:anchor distT="0" distB="0" distL="114300" distR="114300" simplePos="0" relativeHeight="251658240" behindDoc="0" locked="0" layoutInCell="1" allowOverlap="1" wp14:anchorId="137A676D" wp14:editId="1309FA9F">
                <wp:simplePos x="0" y="0"/>
                <wp:positionH relativeFrom="page">
                  <wp:posOffset>895985</wp:posOffset>
                </wp:positionH>
                <wp:positionV relativeFrom="page">
                  <wp:posOffset>1222375</wp:posOffset>
                </wp:positionV>
                <wp:extent cx="5995035" cy="0"/>
                <wp:effectExtent l="0" t="0" r="0" b="0"/>
                <wp:wrapNone/>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273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8D45E" id="Line 1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96.25pt" to="542.6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ZAHwIAAEQ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" strokeweight="2.15pt">
                <w10:wrap anchorx="page" anchory="page"/>
              </v:line>
            </w:pict>
          </mc:Fallback>
        </mc:AlternateContent>
      </w:r>
      <w:r>
        <w:rPr>
          <w:noProof/>
        </w:rPr>
        <mc:AlternateContent>
          <mc:Choice Requires="wps">
            <w:drawing>
              <wp:anchor distT="0" distB="0" distL="114300" distR="114300" simplePos="0" relativeHeight="251658241" behindDoc="0" locked="0" layoutInCell="1" allowOverlap="1" wp14:anchorId="59DE7FB0" wp14:editId="7A93DE66">
                <wp:simplePos x="0" y="0"/>
                <wp:positionH relativeFrom="page">
                  <wp:posOffset>895985</wp:posOffset>
                </wp:positionH>
                <wp:positionV relativeFrom="page">
                  <wp:posOffset>1280160</wp:posOffset>
                </wp:positionV>
                <wp:extent cx="5995035" cy="0"/>
                <wp:effectExtent l="0" t="0" r="0" b="0"/>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A0B63" id="Line 18"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100.8pt" to="542.6pt,1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f0HgIAAEMEAAAOAAAAZHJzL2Uyb0RvYy54bWysU8GO2jAQvVfqP1i+QxI2U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" strokeweight=".7pt">
                <w10:wrap anchorx="page" anchory="page"/>
              </v:line>
            </w:pict>
          </mc:Fallback>
        </mc:AlternateContent>
      </w:r>
      <w:r>
        <w:rPr>
          <w:rFonts w:ascii="Cambria" w:eastAsia="Cambria" w:hAnsi="Cambria"/>
          <w:color w:val="000000"/>
          <w:spacing w:val="3"/>
          <w:sz w:val="43"/>
        </w:rPr>
        <w:t>United States Court of Appeals</w:t>
      </w:r>
    </w:p>
    <w:p w:rsidR="000C6EEF" w:rsidRDefault="002267DA">
      <w:pPr>
        <w:spacing w:before="132" w:after="302" w:line="463" w:lineRule="exact"/>
        <w:jc w:val="center"/>
        <w:textAlignment w:val="baseline"/>
        <w:rPr>
          <w:rFonts w:ascii="Cambria" w:eastAsia="Cambria" w:hAnsi="Cambria"/>
          <w:color w:val="000000"/>
          <w:spacing w:val="3"/>
          <w:sz w:val="43"/>
        </w:rPr>
      </w:pPr>
      <w:r>
        <w:rPr>
          <w:rFonts w:ascii="Cambria" w:eastAsia="Cambria" w:hAnsi="Cambria"/>
          <w:color w:val="000000"/>
          <w:spacing w:val="3"/>
          <w:sz w:val="43"/>
        </w:rPr>
        <w:t>for the Federal Circuit</w:t>
      </w:r>
      <w:bookmarkStart w:id="0" w:name="_GoBack"/>
      <w:bookmarkEnd w:id="0"/>
    </w:p>
    <w:p w:rsidR="000C6EEF" w:rsidRDefault="002267DA">
      <w:pPr>
        <w:spacing w:before="726" w:line="319" w:lineRule="exact"/>
        <w:jc w:val="center"/>
        <w:textAlignment w:val="baseline"/>
        <w:rPr>
          <w:rFonts w:ascii="Garamond" w:eastAsia="Garamond" w:hAnsi="Garamond"/>
          <w:color w:val="000000"/>
          <w:spacing w:val="-1"/>
          <w:sz w:val="28"/>
        </w:rPr>
      </w:pPr>
      <w:r>
        <w:rPr>
          <w:noProof/>
        </w:rPr>
        <mc:AlternateContent>
          <mc:Choice Requires="wps">
            <w:drawing>
              <wp:anchor distT="0" distB="0" distL="114300" distR="114300" simplePos="0" relativeHeight="251658242" behindDoc="0" locked="0" layoutInCell="1" allowOverlap="1" wp14:anchorId="47D55A87" wp14:editId="286EBA70">
                <wp:simplePos x="0" y="0"/>
                <wp:positionH relativeFrom="margin">
                  <wp:align>center</wp:align>
                </wp:positionH>
                <wp:positionV relativeFrom="page">
                  <wp:posOffset>2514600</wp:posOffset>
                </wp:positionV>
                <wp:extent cx="2356485" cy="0"/>
                <wp:effectExtent l="0" t="0" r="0" b="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648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C9DC1" id="Line 17" o:spid="_x0000_s1026" style="position:absolute;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198pt" to="185.5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6HwIAAEQ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" strokeweight="1.45pt">
                <w10:wrap anchorx="margin" anchory="page"/>
              </v:line>
            </w:pict>
          </mc:Fallback>
        </mc:AlternateContent>
      </w:r>
      <w:r w:rsidR="006E4CE6">
        <w:rPr>
          <w:rFonts w:ascii="Garamond" w:eastAsia="Garamond" w:hAnsi="Garamond"/>
          <w:color w:val="000000"/>
          <w:spacing w:val="-1"/>
          <w:sz w:val="28"/>
        </w:rPr>
        <w:t>SMART METER TECHNOLOGIES INC</w:t>
      </w:r>
      <w:r>
        <w:rPr>
          <w:rFonts w:ascii="Garamond" w:eastAsia="Garamond" w:hAnsi="Garamond"/>
          <w:color w:val="000000"/>
          <w:spacing w:val="-1"/>
          <w:sz w:val="28"/>
        </w:rPr>
        <w:t>.,</w:t>
      </w:r>
    </w:p>
    <w:p w:rsidR="000C6EEF" w:rsidRDefault="002267DA">
      <w:pPr>
        <w:spacing w:before="17" w:line="319" w:lineRule="exact"/>
        <w:ind w:left="5256"/>
        <w:textAlignment w:val="baseline"/>
        <w:rPr>
          <w:rFonts w:ascii="Garamond" w:eastAsia="Garamond" w:hAnsi="Garamond"/>
          <w:color w:val="000000"/>
          <w:sz w:val="28"/>
        </w:rPr>
      </w:pPr>
      <w:r>
        <w:rPr>
          <w:rFonts w:ascii="Garamond" w:eastAsia="Garamond" w:hAnsi="Garamond"/>
          <w:color w:val="000000"/>
          <w:sz w:val="28"/>
        </w:rPr>
        <w:t>Appellant</w:t>
      </w:r>
    </w:p>
    <w:p w:rsidR="000C6EEF" w:rsidRDefault="002267DA">
      <w:pPr>
        <w:spacing w:before="17" w:line="319" w:lineRule="exact"/>
        <w:jc w:val="center"/>
        <w:textAlignment w:val="baseline"/>
        <w:rPr>
          <w:rFonts w:ascii="Garamond" w:eastAsia="Garamond" w:hAnsi="Garamond"/>
          <w:color w:val="000000"/>
          <w:spacing w:val="38"/>
          <w:sz w:val="28"/>
        </w:rPr>
      </w:pPr>
      <w:r>
        <w:rPr>
          <w:rFonts w:ascii="Garamond" w:eastAsia="Garamond" w:hAnsi="Garamond"/>
          <w:color w:val="000000"/>
          <w:spacing w:val="38"/>
          <w:sz w:val="28"/>
        </w:rPr>
        <w:t>v.</w:t>
      </w:r>
    </w:p>
    <w:p w:rsidR="000C6EEF" w:rsidRDefault="006E4CE6">
      <w:pPr>
        <w:spacing w:before="353" w:line="319" w:lineRule="exact"/>
        <w:jc w:val="center"/>
        <w:textAlignment w:val="baseline"/>
        <w:rPr>
          <w:rFonts w:ascii="Garamond" w:eastAsia="Garamond" w:hAnsi="Garamond"/>
          <w:color w:val="000000"/>
          <w:spacing w:val="2"/>
          <w:sz w:val="28"/>
        </w:rPr>
      </w:pPr>
      <w:r>
        <w:rPr>
          <w:rFonts w:ascii="Garamond" w:eastAsia="Garamond" w:hAnsi="Garamond"/>
          <w:color w:val="000000"/>
          <w:spacing w:val="2"/>
          <w:sz w:val="28"/>
        </w:rPr>
        <w:t>ITRON, INC.</w:t>
      </w:r>
    </w:p>
    <w:p w:rsidR="000C6EEF" w:rsidRDefault="002267DA">
      <w:pPr>
        <w:spacing w:before="17" w:after="670" w:line="319" w:lineRule="exact"/>
        <w:ind w:left="5256"/>
        <w:textAlignment w:val="baseline"/>
        <w:rPr>
          <w:rFonts w:ascii="Garamond" w:eastAsia="Garamond" w:hAnsi="Garamond"/>
          <w:color w:val="000000"/>
          <w:spacing w:val="-1"/>
          <w:sz w:val="28"/>
        </w:rPr>
      </w:pPr>
      <w:r>
        <w:rPr>
          <w:rFonts w:ascii="Garamond" w:eastAsia="Garamond" w:hAnsi="Garamond"/>
          <w:color w:val="000000"/>
          <w:spacing w:val="-1"/>
          <w:sz w:val="28"/>
        </w:rPr>
        <w:t>Appellee.</w:t>
      </w:r>
    </w:p>
    <w:p w:rsidR="000C6EEF" w:rsidRDefault="006E08AA">
      <w:pPr>
        <w:spacing w:before="406" w:after="329" w:line="336" w:lineRule="exact"/>
        <w:jc w:val="center"/>
        <w:textAlignment w:val="baseline"/>
        <w:rPr>
          <w:rFonts w:ascii="Garamond" w:eastAsia="Garamond" w:hAnsi="Garamond"/>
          <w:color w:val="000000"/>
          <w:sz w:val="28"/>
        </w:rPr>
      </w:pPr>
      <w:r>
        <w:rPr>
          <w:noProof/>
        </w:rPr>
        <mc:AlternateContent>
          <mc:Choice Requires="wps">
            <w:drawing>
              <wp:anchor distT="0" distB="0" distL="114300" distR="114300" simplePos="0" relativeHeight="251658244" behindDoc="0" locked="0" layoutInCell="1" allowOverlap="1" wp14:anchorId="7111E766" wp14:editId="1AC24217">
                <wp:simplePos x="0" y="0"/>
                <wp:positionH relativeFrom="margin">
                  <wp:align>center</wp:align>
                </wp:positionH>
                <wp:positionV relativeFrom="page">
                  <wp:posOffset>5553710</wp:posOffset>
                </wp:positionV>
                <wp:extent cx="5527040" cy="0"/>
                <wp:effectExtent l="0" t="19050" r="35560" b="1905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040" cy="0"/>
                        </a:xfrm>
                        <a:prstGeom prst="line">
                          <a:avLst/>
                        </a:prstGeom>
                        <a:noFill/>
                        <a:ln w="4254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B2189" id="Line 15" o:spid="_x0000_s1026" style="position:absolute;z-index:2516582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437.3pt" to="435.2pt,4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dCGgIAADYEAAAOAAAAZHJzL2Uyb0RvYy54bWysU8GO2jAQvVfqP1i+QxIaWI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" strokeweight="3.35pt">
                <v:stroke linestyle="thinThin"/>
                <w10:wrap anchorx="margin" anchory="page"/>
              </v:line>
            </w:pict>
          </mc:Fallback>
        </mc:AlternateContent>
      </w:r>
      <w:r w:rsidR="002267DA">
        <w:rPr>
          <w:noProof/>
        </w:rPr>
        <mc:AlternateContent>
          <mc:Choice Requires="wps">
            <w:drawing>
              <wp:anchor distT="0" distB="0" distL="114300" distR="114300" simplePos="0" relativeHeight="251658243" behindDoc="0" locked="0" layoutInCell="1" allowOverlap="1" wp14:anchorId="5EFED3D8" wp14:editId="3EBB2663">
                <wp:simplePos x="0" y="0"/>
                <wp:positionH relativeFrom="page">
                  <wp:posOffset>1124585</wp:posOffset>
                </wp:positionH>
                <wp:positionV relativeFrom="page">
                  <wp:posOffset>4441190</wp:posOffset>
                </wp:positionV>
                <wp:extent cx="5527040"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040" cy="0"/>
                        </a:xfrm>
                        <a:prstGeom prst="line">
                          <a:avLst/>
                        </a:prstGeom>
                        <a:noFill/>
                        <a:ln w="4254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16BF9" id="Line 16"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349.7pt" to="523.75pt,3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" strokeweight="3.35pt">
                <v:stroke linestyle="thinThin"/>
                <w10:wrap anchorx="page" anchory="page"/>
              </v:line>
            </w:pict>
          </mc:Fallback>
        </mc:AlternateContent>
      </w:r>
      <w:r w:rsidR="002267DA">
        <w:rPr>
          <w:rFonts w:ascii="Garamond" w:eastAsia="Garamond" w:hAnsi="Garamond"/>
          <w:color w:val="000000"/>
          <w:sz w:val="28"/>
        </w:rPr>
        <w:t xml:space="preserve">Appeal from the United States Patent and Trademark Office, </w:t>
      </w:r>
      <w:r w:rsidR="002267DA">
        <w:rPr>
          <w:rFonts w:ascii="Garamond" w:eastAsia="Garamond" w:hAnsi="Garamond"/>
          <w:color w:val="000000"/>
          <w:sz w:val="28"/>
        </w:rPr>
        <w:br/>
        <w:t>Patent Trial and Appeal Board in No. IPR201</w:t>
      </w:r>
      <w:r w:rsidR="0053275C">
        <w:rPr>
          <w:rFonts w:ascii="Garamond" w:eastAsia="Garamond" w:hAnsi="Garamond"/>
          <w:color w:val="000000"/>
          <w:sz w:val="28"/>
        </w:rPr>
        <w:t>7</w:t>
      </w:r>
      <w:r w:rsidR="002267DA">
        <w:rPr>
          <w:rFonts w:ascii="Garamond" w:eastAsia="Garamond" w:hAnsi="Garamond"/>
          <w:color w:val="000000"/>
          <w:sz w:val="28"/>
        </w:rPr>
        <w:t>-011</w:t>
      </w:r>
      <w:r w:rsidR="0053275C">
        <w:rPr>
          <w:rFonts w:ascii="Garamond" w:eastAsia="Garamond" w:hAnsi="Garamond"/>
          <w:color w:val="000000"/>
          <w:sz w:val="28"/>
        </w:rPr>
        <w:t>99</w:t>
      </w:r>
    </w:p>
    <w:p w:rsidR="006E4CE6" w:rsidRDefault="006E4CE6">
      <w:pPr>
        <w:spacing w:before="30" w:after="220" w:line="504" w:lineRule="exact"/>
        <w:jc w:val="center"/>
        <w:textAlignment w:val="baseline"/>
        <w:rPr>
          <w:rFonts w:ascii="Garamond" w:eastAsia="Garamond" w:hAnsi="Garamond"/>
          <w:b/>
          <w:color w:val="000000"/>
          <w:sz w:val="30"/>
        </w:rPr>
      </w:pPr>
    </w:p>
    <w:p w:rsidR="000C6EEF" w:rsidRDefault="006E08AA">
      <w:pPr>
        <w:spacing w:before="30" w:after="220" w:line="504" w:lineRule="exact"/>
        <w:jc w:val="center"/>
        <w:textAlignment w:val="baseline"/>
        <w:rPr>
          <w:rFonts w:ascii="Garamond" w:eastAsia="Garamond" w:hAnsi="Garamond"/>
          <w:b/>
          <w:color w:val="000000"/>
          <w:sz w:val="30"/>
        </w:rPr>
      </w:pPr>
      <w:r>
        <w:rPr>
          <w:noProof/>
        </w:rPr>
        <mc:AlternateContent>
          <mc:Choice Requires="wps">
            <w:drawing>
              <wp:anchor distT="0" distB="0" distL="114300" distR="114300" simplePos="0" relativeHeight="251658246" behindDoc="0" locked="0" layoutInCell="1" allowOverlap="1" wp14:anchorId="7B5FE13D" wp14:editId="01D99045">
                <wp:simplePos x="0" y="0"/>
                <wp:positionH relativeFrom="margin">
                  <wp:align>left</wp:align>
                </wp:positionH>
                <wp:positionV relativeFrom="page">
                  <wp:posOffset>6546850</wp:posOffset>
                </wp:positionV>
                <wp:extent cx="5995035" cy="0"/>
                <wp:effectExtent l="0" t="0" r="0" b="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273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3149" id="Line 13" o:spid="_x0000_s1026" style="position:absolute;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515.5pt" to="472.0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6FcHwIAAEQ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" strokeweight="2.15pt">
                <w10:wrap anchorx="margin" anchory="page"/>
              </v:line>
            </w:pict>
          </mc:Fallback>
        </mc:AlternateContent>
      </w:r>
      <w:r w:rsidR="002267DA">
        <w:rPr>
          <w:rFonts w:ascii="Garamond" w:eastAsia="Garamond" w:hAnsi="Garamond"/>
          <w:b/>
          <w:color w:val="000000"/>
          <w:sz w:val="30"/>
        </w:rPr>
        <w:t xml:space="preserve">APPELLANT’S BRIEF </w:t>
      </w:r>
      <w:r w:rsidR="002267DA">
        <w:rPr>
          <w:rFonts w:ascii="Garamond" w:eastAsia="Garamond" w:hAnsi="Garamond"/>
          <w:b/>
          <w:color w:val="000000"/>
          <w:sz w:val="30"/>
        </w:rPr>
        <w:br/>
      </w:r>
    </w:p>
    <w:p w:rsidR="000C6EEF" w:rsidRDefault="002267DA">
      <w:pPr>
        <w:spacing w:before="162" w:line="319" w:lineRule="exact"/>
        <w:ind w:right="108"/>
        <w:jc w:val="right"/>
        <w:textAlignment w:val="baseline"/>
        <w:rPr>
          <w:rFonts w:ascii="Garamond" w:eastAsia="Garamond" w:hAnsi="Garamond"/>
          <w:color w:val="000000"/>
          <w:spacing w:val="-3"/>
          <w:sz w:val="28"/>
        </w:rPr>
      </w:pPr>
      <w:r>
        <w:rPr>
          <w:noProof/>
        </w:rPr>
        <mc:AlternateContent>
          <mc:Choice Requires="wps">
            <w:drawing>
              <wp:anchor distT="0" distB="0" distL="114300" distR="114300" simplePos="0" relativeHeight="251658245" behindDoc="0" locked="0" layoutInCell="1" allowOverlap="1" wp14:anchorId="56E71D67" wp14:editId="7500BBA1">
                <wp:simplePos x="0" y="0"/>
                <wp:positionH relativeFrom="page">
                  <wp:posOffset>895985</wp:posOffset>
                </wp:positionH>
                <wp:positionV relativeFrom="page">
                  <wp:posOffset>6123305</wp:posOffset>
                </wp:positionV>
                <wp:extent cx="5995035" cy="0"/>
                <wp:effectExtent l="0" t="0" r="0" b="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10B26" id="Line 14" o:spid="_x0000_s1026" style="position:absolute;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482.15pt" to="542.6pt,4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OVkHQIAAEM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" strokeweight=".7pt">
                <w10:wrap anchorx="page" anchory="page"/>
              </v:line>
            </w:pict>
          </mc:Fallback>
        </mc:AlternateContent>
      </w:r>
      <w:r>
        <w:rPr>
          <w:rFonts w:ascii="Garamond" w:eastAsia="Garamond" w:hAnsi="Garamond"/>
          <w:color w:val="000000"/>
          <w:spacing w:val="-3"/>
          <w:sz w:val="28"/>
        </w:rPr>
        <w:t>F</w:t>
      </w:r>
      <w:r>
        <w:rPr>
          <w:rFonts w:ascii="Garamond" w:eastAsia="Garamond" w:hAnsi="Garamond"/>
          <w:color w:val="000000"/>
          <w:spacing w:val="-3"/>
        </w:rPr>
        <w:t>ILED ON BEHALF OF</w:t>
      </w:r>
      <w:r>
        <w:rPr>
          <w:rFonts w:ascii="Garamond" w:eastAsia="Garamond" w:hAnsi="Garamond"/>
          <w:color w:val="000000"/>
          <w:spacing w:val="-3"/>
          <w:sz w:val="28"/>
        </w:rPr>
        <w:t>: A</w:t>
      </w:r>
      <w:r>
        <w:rPr>
          <w:rFonts w:ascii="Garamond" w:eastAsia="Garamond" w:hAnsi="Garamond"/>
          <w:color w:val="000000"/>
          <w:spacing w:val="-3"/>
        </w:rPr>
        <w:t>PPELLANT</w:t>
      </w:r>
      <w:r>
        <w:rPr>
          <w:rFonts w:ascii="Garamond" w:eastAsia="Garamond" w:hAnsi="Garamond"/>
          <w:color w:val="000000"/>
          <w:spacing w:val="-3"/>
          <w:sz w:val="28"/>
        </w:rPr>
        <w:t xml:space="preserve">, </w:t>
      </w:r>
      <w:r w:rsidR="006E4CE6" w:rsidRPr="006E4CE6">
        <w:rPr>
          <w:rFonts w:ascii="Garamond" w:eastAsia="Garamond" w:hAnsi="Garamond"/>
          <w:smallCaps/>
          <w:color w:val="000000"/>
          <w:spacing w:val="-3"/>
          <w:sz w:val="28"/>
        </w:rPr>
        <w:t>Smart Meter Technologies</w:t>
      </w:r>
      <w:r>
        <w:rPr>
          <w:rFonts w:ascii="Garamond" w:eastAsia="Garamond" w:hAnsi="Garamond"/>
          <w:color w:val="000000"/>
          <w:spacing w:val="-3"/>
          <w:sz w:val="28"/>
        </w:rPr>
        <w:t xml:space="preserve"> I</w:t>
      </w:r>
      <w:r>
        <w:rPr>
          <w:rFonts w:ascii="Garamond" w:eastAsia="Garamond" w:hAnsi="Garamond"/>
          <w:color w:val="000000"/>
          <w:spacing w:val="-3"/>
        </w:rPr>
        <w:t>NC</w:t>
      </w:r>
      <w:r>
        <w:rPr>
          <w:rFonts w:ascii="Garamond" w:eastAsia="Garamond" w:hAnsi="Garamond"/>
          <w:color w:val="000000"/>
          <w:spacing w:val="-3"/>
          <w:sz w:val="28"/>
        </w:rPr>
        <w:t>.</w:t>
      </w:r>
    </w:p>
    <w:p w:rsidR="000C6EEF" w:rsidRDefault="006E4CE6">
      <w:pPr>
        <w:spacing w:before="336" w:line="336" w:lineRule="exact"/>
        <w:ind w:left="5688"/>
        <w:jc w:val="right"/>
        <w:textAlignment w:val="baseline"/>
        <w:rPr>
          <w:rFonts w:ascii="Garamond" w:eastAsia="Garamond" w:hAnsi="Garamond"/>
          <w:color w:val="000000"/>
          <w:sz w:val="28"/>
        </w:rPr>
      </w:pPr>
      <w:r>
        <w:rPr>
          <w:rFonts w:ascii="Garamond" w:eastAsia="Garamond" w:hAnsi="Garamond"/>
          <w:b/>
          <w:color w:val="000000"/>
          <w:sz w:val="28"/>
        </w:rPr>
        <w:t>[[[signature block]]]</w:t>
      </w:r>
      <w:r w:rsidR="002267DA">
        <w:rPr>
          <w:rFonts w:ascii="Garamond" w:eastAsia="Garamond" w:hAnsi="Garamond"/>
          <w:color w:val="000000"/>
          <w:sz w:val="28"/>
        </w:rPr>
        <w:t xml:space="preserve"> </w:t>
      </w:r>
    </w:p>
    <w:p w:rsidR="000C6EEF" w:rsidRDefault="002267DA">
      <w:pPr>
        <w:spacing w:before="350" w:line="320" w:lineRule="exact"/>
        <w:ind w:right="72"/>
        <w:jc w:val="right"/>
        <w:textAlignment w:val="baseline"/>
        <w:rPr>
          <w:rFonts w:ascii="Garamond" w:eastAsia="Garamond" w:hAnsi="Garamond"/>
          <w:i/>
          <w:color w:val="000000"/>
          <w:spacing w:val="3"/>
          <w:sz w:val="29"/>
        </w:rPr>
      </w:pPr>
      <w:r>
        <w:rPr>
          <w:rFonts w:ascii="Garamond" w:eastAsia="Garamond" w:hAnsi="Garamond"/>
          <w:i/>
          <w:color w:val="000000"/>
          <w:spacing w:val="3"/>
          <w:sz w:val="29"/>
        </w:rPr>
        <w:t>Counsel for Appellant</w:t>
      </w:r>
    </w:p>
    <w:p w:rsidR="000C6EEF" w:rsidRDefault="000C6EEF">
      <w:pPr>
        <w:sectPr w:rsidR="000C6EEF">
          <w:pgSz w:w="12240" w:h="15840"/>
          <w:pgMar w:top="220" w:right="1389" w:bottom="1844" w:left="1411" w:header="720" w:footer="720" w:gutter="0"/>
          <w:cols w:space="720"/>
        </w:sectPr>
      </w:pPr>
    </w:p>
    <w:p w:rsidR="000C6EEF" w:rsidRPr="009E21EB" w:rsidRDefault="002267DA">
      <w:pPr>
        <w:spacing w:before="911" w:line="379" w:lineRule="exact"/>
        <w:jc w:val="center"/>
        <w:textAlignment w:val="baseline"/>
        <w:rPr>
          <w:rFonts w:ascii="Garamond" w:eastAsia="Tahoma" w:hAnsi="Garamond"/>
          <w:b/>
          <w:color w:val="000000"/>
          <w:sz w:val="28"/>
          <w:szCs w:val="28"/>
        </w:rPr>
      </w:pPr>
      <w:r w:rsidRPr="009E21EB">
        <w:rPr>
          <w:rFonts w:ascii="Garamond" w:eastAsia="Tahoma" w:hAnsi="Garamond"/>
          <w:b/>
          <w:color w:val="000000"/>
          <w:sz w:val="28"/>
          <w:szCs w:val="28"/>
        </w:rPr>
        <w:lastRenderedPageBreak/>
        <w:t xml:space="preserve">CERTIFICATE OF INTEREST AND CORPORATE DISCLOSURE </w:t>
      </w:r>
      <w:r w:rsidRPr="009E21EB">
        <w:rPr>
          <w:rFonts w:ascii="Garamond" w:eastAsia="Tahoma" w:hAnsi="Garamond"/>
          <w:b/>
          <w:color w:val="000000"/>
          <w:sz w:val="28"/>
          <w:szCs w:val="28"/>
        </w:rPr>
        <w:br/>
        <w:t>STATEMENT</w:t>
      </w:r>
    </w:p>
    <w:p w:rsidR="000C6EEF" w:rsidRDefault="002267DA">
      <w:pPr>
        <w:spacing w:before="1301" w:line="313" w:lineRule="exact"/>
        <w:textAlignment w:val="baseline"/>
        <w:rPr>
          <w:rFonts w:ascii="Garamond" w:eastAsia="Garamond" w:hAnsi="Garamond"/>
          <w:color w:val="000000"/>
          <w:spacing w:val="3"/>
          <w:sz w:val="28"/>
        </w:rPr>
      </w:pPr>
      <w:r>
        <w:rPr>
          <w:rFonts w:ascii="Garamond" w:eastAsia="Garamond" w:hAnsi="Garamond"/>
          <w:color w:val="000000"/>
          <w:spacing w:val="3"/>
          <w:sz w:val="28"/>
        </w:rPr>
        <w:t xml:space="preserve">Date: </w:t>
      </w:r>
      <w:r w:rsidR="00DD1066">
        <w:rPr>
          <w:rFonts w:ascii="Garamond" w:eastAsia="Garamond" w:hAnsi="Garamond"/>
          <w:color w:val="000000"/>
          <w:spacing w:val="3"/>
          <w:sz w:val="28"/>
        </w:rPr>
        <w:t>April 22, 2019</w:t>
      </w:r>
    </w:p>
    <w:p w:rsidR="000C6EEF" w:rsidRDefault="00DD1066">
      <w:pPr>
        <w:spacing w:line="296" w:lineRule="exact"/>
        <w:ind w:left="4320"/>
        <w:textAlignment w:val="baseline"/>
        <w:rPr>
          <w:rFonts w:ascii="Garamond" w:eastAsia="Garamond" w:hAnsi="Garamond"/>
          <w:color w:val="000000"/>
          <w:spacing w:val="-1"/>
          <w:sz w:val="28"/>
        </w:rPr>
      </w:pPr>
      <w:r>
        <w:rPr>
          <w:rFonts w:ascii="Garamond" w:eastAsia="Garamond" w:hAnsi="Garamond"/>
          <w:color w:val="000000"/>
          <w:spacing w:val="-1"/>
          <w:sz w:val="28"/>
        </w:rPr>
        <w:t>/s/ Decker A. Cammack</w:t>
      </w:r>
    </w:p>
    <w:p w:rsidR="00DD1066" w:rsidRDefault="00DD1066">
      <w:pPr>
        <w:spacing w:line="296" w:lineRule="exact"/>
        <w:ind w:left="4320"/>
        <w:textAlignment w:val="baseline"/>
        <w:rPr>
          <w:rFonts w:ascii="Garamond" w:eastAsia="Garamond" w:hAnsi="Garamond"/>
          <w:color w:val="000000"/>
          <w:spacing w:val="-1"/>
          <w:sz w:val="28"/>
        </w:rPr>
      </w:pPr>
      <w:r>
        <w:rPr>
          <w:rFonts w:ascii="Garamond" w:eastAsia="Garamond" w:hAnsi="Garamond"/>
          <w:color w:val="000000"/>
          <w:spacing w:val="-1"/>
          <w:sz w:val="28"/>
        </w:rPr>
        <w:t>Decker A. Cammack</w:t>
      </w:r>
    </w:p>
    <w:p w:rsidR="00DD1066" w:rsidRDefault="00DD1066">
      <w:pPr>
        <w:spacing w:line="296" w:lineRule="exact"/>
        <w:ind w:left="4320"/>
        <w:textAlignment w:val="baseline"/>
        <w:rPr>
          <w:rFonts w:ascii="Garamond" w:eastAsia="Garamond" w:hAnsi="Garamond"/>
          <w:color w:val="000000"/>
          <w:spacing w:val="-1"/>
          <w:sz w:val="28"/>
        </w:rPr>
      </w:pPr>
      <w:r>
        <w:rPr>
          <w:rFonts w:ascii="Garamond" w:eastAsia="Garamond" w:hAnsi="Garamond"/>
          <w:color w:val="000000"/>
          <w:spacing w:val="-1"/>
          <w:sz w:val="28"/>
        </w:rPr>
        <w:t>Counsel for Appellant</w:t>
      </w:r>
    </w:p>
    <w:p w:rsidR="000C6EEF" w:rsidRDefault="002267DA">
      <w:pPr>
        <w:spacing w:before="1127" w:line="273" w:lineRule="exact"/>
        <w:jc w:val="center"/>
        <w:textAlignment w:val="baseline"/>
        <w:rPr>
          <w:rFonts w:eastAsia="Times New Roman"/>
          <w:color w:val="000000"/>
          <w:spacing w:val="39"/>
          <w:sz w:val="24"/>
        </w:rPr>
      </w:pPr>
      <w:r>
        <w:rPr>
          <w:rFonts w:eastAsia="Times New Roman"/>
          <w:color w:val="000000"/>
          <w:spacing w:val="39"/>
          <w:sz w:val="24"/>
        </w:rPr>
        <w:t>ii</w:t>
      </w:r>
    </w:p>
    <w:p w:rsidR="000C6EEF" w:rsidRDefault="000C6EEF">
      <w:pPr>
        <w:sectPr w:rsidR="000C6EEF">
          <w:pgSz w:w="12240" w:h="15840"/>
          <w:pgMar w:top="220" w:right="1407" w:bottom="304" w:left="1393" w:header="720" w:footer="720" w:gutter="0"/>
          <w:cols w:space="720"/>
        </w:sectPr>
      </w:pPr>
    </w:p>
    <w:p w:rsidR="000C6EEF" w:rsidRDefault="002267DA" w:rsidP="006372E3">
      <w:pPr>
        <w:spacing w:before="240" w:line="317" w:lineRule="exact"/>
        <w:jc w:val="center"/>
        <w:textAlignment w:val="baseline"/>
        <w:rPr>
          <w:rFonts w:ascii="Tahoma" w:eastAsia="Tahoma" w:hAnsi="Tahoma"/>
          <w:b/>
          <w:color w:val="000000"/>
          <w:spacing w:val="6"/>
          <w:sz w:val="26"/>
        </w:rPr>
      </w:pPr>
      <w:r>
        <w:rPr>
          <w:rFonts w:ascii="Tahoma" w:eastAsia="Tahoma" w:hAnsi="Tahoma"/>
          <w:b/>
          <w:color w:val="000000"/>
          <w:spacing w:val="6"/>
          <w:sz w:val="26"/>
        </w:rPr>
        <w:t>TABLE OF CONTENTS</w:t>
      </w:r>
    </w:p>
    <w:p w:rsidR="000C6EEF" w:rsidRDefault="002267DA">
      <w:pPr>
        <w:spacing w:before="737" w:line="319" w:lineRule="exact"/>
        <w:textAlignment w:val="baseline"/>
        <w:rPr>
          <w:rFonts w:ascii="Garamond" w:eastAsia="Garamond" w:hAnsi="Garamond"/>
          <w:color w:val="000000"/>
          <w:sz w:val="28"/>
        </w:rPr>
      </w:pPr>
      <w:r>
        <w:rPr>
          <w:rFonts w:ascii="Garamond" w:eastAsia="Garamond" w:hAnsi="Garamond"/>
          <w:color w:val="000000"/>
          <w:sz w:val="28"/>
        </w:rPr>
        <w:t>CERTIFICATE OF INTEREST AND CORPORATE DISCLOSURE</w:t>
      </w:r>
    </w:p>
    <w:p w:rsidR="000C6EEF" w:rsidRDefault="002267DA">
      <w:pPr>
        <w:tabs>
          <w:tab w:val="right" w:leader="dot" w:pos="9360"/>
        </w:tabs>
        <w:spacing w:before="17" w:line="319" w:lineRule="exact"/>
        <w:textAlignment w:val="baseline"/>
        <w:rPr>
          <w:rFonts w:ascii="Garamond" w:eastAsia="Garamond" w:hAnsi="Garamond"/>
          <w:color w:val="000000"/>
          <w:sz w:val="28"/>
        </w:rPr>
      </w:pPr>
      <w:r>
        <w:rPr>
          <w:rFonts w:ascii="Garamond" w:eastAsia="Garamond" w:hAnsi="Garamond"/>
          <w:color w:val="000000"/>
          <w:sz w:val="28"/>
        </w:rPr>
        <w:t>STATEMENT</w:t>
      </w:r>
      <w:r>
        <w:rPr>
          <w:rFonts w:ascii="Garamond" w:eastAsia="Garamond" w:hAnsi="Garamond"/>
          <w:color w:val="000000"/>
          <w:sz w:val="28"/>
        </w:rPr>
        <w:tab/>
      </w:r>
    </w:p>
    <w:p w:rsidR="000C6EEF" w:rsidRDefault="002267DA">
      <w:pPr>
        <w:tabs>
          <w:tab w:val="right" w:leader="dot" w:pos="9360"/>
        </w:tabs>
        <w:spacing w:before="416" w:line="319" w:lineRule="exact"/>
        <w:textAlignment w:val="baseline"/>
        <w:rPr>
          <w:rFonts w:ascii="Garamond" w:eastAsia="Garamond" w:hAnsi="Garamond"/>
          <w:color w:val="000000"/>
          <w:sz w:val="28"/>
        </w:rPr>
      </w:pPr>
      <w:r>
        <w:rPr>
          <w:rFonts w:ascii="Garamond" w:eastAsia="Garamond" w:hAnsi="Garamond"/>
          <w:color w:val="000000"/>
          <w:sz w:val="28"/>
        </w:rPr>
        <w:t>TABLE OF CONTENTS</w:t>
      </w:r>
      <w:r>
        <w:rPr>
          <w:rFonts w:ascii="Garamond" w:eastAsia="Garamond" w:hAnsi="Garamond"/>
          <w:color w:val="000000"/>
          <w:sz w:val="28"/>
        </w:rPr>
        <w:tab/>
      </w:r>
    </w:p>
    <w:p w:rsidR="000C6EEF" w:rsidRDefault="002267DA">
      <w:pPr>
        <w:tabs>
          <w:tab w:val="right" w:leader="dot" w:pos="9360"/>
        </w:tabs>
        <w:spacing w:before="410" w:line="319" w:lineRule="exact"/>
        <w:textAlignment w:val="baseline"/>
        <w:rPr>
          <w:rFonts w:ascii="Garamond" w:eastAsia="Garamond" w:hAnsi="Garamond"/>
          <w:color w:val="000000"/>
          <w:sz w:val="28"/>
        </w:rPr>
      </w:pPr>
      <w:r>
        <w:rPr>
          <w:rFonts w:ascii="Garamond" w:eastAsia="Garamond" w:hAnsi="Garamond"/>
          <w:color w:val="000000"/>
          <w:sz w:val="28"/>
        </w:rPr>
        <w:t>TABLE OF AUTHORITIES</w:t>
      </w:r>
      <w:r>
        <w:rPr>
          <w:rFonts w:ascii="Garamond" w:eastAsia="Garamond" w:hAnsi="Garamond"/>
          <w:color w:val="000000"/>
          <w:sz w:val="28"/>
        </w:rPr>
        <w:tab/>
      </w:r>
    </w:p>
    <w:p w:rsidR="000C6EEF" w:rsidRDefault="002267DA">
      <w:pPr>
        <w:numPr>
          <w:ilvl w:val="0"/>
          <w:numId w:val="2"/>
        </w:numPr>
        <w:tabs>
          <w:tab w:val="right" w:leader="dot" w:pos="9360"/>
        </w:tabs>
        <w:spacing w:before="416" w:line="319" w:lineRule="exact"/>
        <w:ind w:left="0"/>
        <w:textAlignment w:val="baseline"/>
        <w:rPr>
          <w:rFonts w:ascii="Garamond" w:eastAsia="Garamond" w:hAnsi="Garamond"/>
          <w:color w:val="000000"/>
          <w:sz w:val="28"/>
        </w:rPr>
      </w:pPr>
      <w:r>
        <w:rPr>
          <w:rFonts w:ascii="Garamond" w:eastAsia="Garamond" w:hAnsi="Garamond"/>
          <w:color w:val="000000"/>
          <w:sz w:val="28"/>
        </w:rPr>
        <w:t>STATEMENT OF RELATED CASES</w:t>
      </w:r>
      <w:r>
        <w:rPr>
          <w:rFonts w:ascii="Garamond" w:eastAsia="Garamond" w:hAnsi="Garamond"/>
          <w:color w:val="000000"/>
          <w:sz w:val="28"/>
        </w:rPr>
        <w:tab/>
      </w:r>
    </w:p>
    <w:p w:rsidR="000C6EEF" w:rsidRDefault="002267DA">
      <w:pPr>
        <w:numPr>
          <w:ilvl w:val="0"/>
          <w:numId w:val="2"/>
        </w:numPr>
        <w:tabs>
          <w:tab w:val="right" w:leader="dot" w:pos="9360"/>
        </w:tabs>
        <w:spacing w:before="410" w:line="319" w:lineRule="exact"/>
        <w:ind w:left="0"/>
        <w:textAlignment w:val="baseline"/>
        <w:rPr>
          <w:rFonts w:ascii="Garamond" w:eastAsia="Garamond" w:hAnsi="Garamond"/>
          <w:color w:val="000000"/>
          <w:sz w:val="28"/>
        </w:rPr>
      </w:pPr>
      <w:r>
        <w:rPr>
          <w:rFonts w:ascii="Garamond" w:eastAsia="Garamond" w:hAnsi="Garamond"/>
          <w:color w:val="000000"/>
          <w:sz w:val="28"/>
        </w:rPr>
        <w:t>JURISDICTIONAL STATEMENT</w:t>
      </w:r>
      <w:r>
        <w:rPr>
          <w:rFonts w:ascii="Garamond" w:eastAsia="Garamond" w:hAnsi="Garamond"/>
          <w:color w:val="000000"/>
          <w:sz w:val="28"/>
        </w:rPr>
        <w:tab/>
      </w:r>
    </w:p>
    <w:p w:rsidR="000C6EEF" w:rsidRDefault="002267DA">
      <w:pPr>
        <w:numPr>
          <w:ilvl w:val="0"/>
          <w:numId w:val="2"/>
        </w:numPr>
        <w:tabs>
          <w:tab w:val="left" w:pos="792"/>
          <w:tab w:val="right" w:leader="dot" w:pos="9360"/>
        </w:tabs>
        <w:spacing w:before="416" w:line="319" w:lineRule="exact"/>
        <w:ind w:left="0"/>
        <w:textAlignment w:val="baseline"/>
        <w:rPr>
          <w:rFonts w:ascii="Garamond" w:eastAsia="Garamond" w:hAnsi="Garamond"/>
          <w:color w:val="000000"/>
          <w:sz w:val="28"/>
        </w:rPr>
      </w:pPr>
      <w:r>
        <w:rPr>
          <w:rFonts w:ascii="Garamond" w:eastAsia="Garamond" w:hAnsi="Garamond"/>
          <w:color w:val="000000"/>
          <w:sz w:val="28"/>
        </w:rPr>
        <w:t>STATEMENT OF ISSUES PRESENTED FOR REVIEW</w:t>
      </w:r>
      <w:r>
        <w:rPr>
          <w:rFonts w:ascii="Garamond" w:eastAsia="Garamond" w:hAnsi="Garamond"/>
          <w:color w:val="000000"/>
          <w:sz w:val="28"/>
        </w:rPr>
        <w:tab/>
      </w:r>
    </w:p>
    <w:p w:rsidR="000C6EEF" w:rsidRDefault="002267DA">
      <w:pPr>
        <w:numPr>
          <w:ilvl w:val="0"/>
          <w:numId w:val="2"/>
        </w:numPr>
        <w:tabs>
          <w:tab w:val="left" w:pos="792"/>
          <w:tab w:val="right" w:leader="dot" w:pos="9360"/>
        </w:tabs>
        <w:spacing w:before="410" w:line="319" w:lineRule="exact"/>
        <w:ind w:left="0"/>
        <w:textAlignment w:val="baseline"/>
        <w:rPr>
          <w:rFonts w:ascii="Garamond" w:eastAsia="Garamond" w:hAnsi="Garamond"/>
          <w:color w:val="000000"/>
          <w:sz w:val="28"/>
        </w:rPr>
      </w:pPr>
      <w:r>
        <w:rPr>
          <w:rFonts w:ascii="Garamond" w:eastAsia="Garamond" w:hAnsi="Garamond"/>
          <w:color w:val="000000"/>
          <w:sz w:val="28"/>
        </w:rPr>
        <w:t>STATEMENT OF THE CASE</w:t>
      </w:r>
      <w:r>
        <w:rPr>
          <w:rFonts w:ascii="Garamond" w:eastAsia="Garamond" w:hAnsi="Garamond"/>
          <w:color w:val="000000"/>
          <w:sz w:val="28"/>
        </w:rPr>
        <w:tab/>
      </w:r>
    </w:p>
    <w:p w:rsidR="000C6EEF" w:rsidRDefault="002267DA">
      <w:pPr>
        <w:tabs>
          <w:tab w:val="right" w:leader="dot" w:pos="9360"/>
        </w:tabs>
        <w:spacing w:before="412" w:line="318" w:lineRule="exact"/>
        <w:textAlignment w:val="baseline"/>
        <w:rPr>
          <w:rFonts w:ascii="Garamond" w:eastAsia="Garamond" w:hAnsi="Garamond"/>
          <w:color w:val="000000"/>
          <w:sz w:val="28"/>
        </w:rPr>
      </w:pPr>
      <w:r>
        <w:rPr>
          <w:rFonts w:ascii="Garamond" w:eastAsia="Garamond" w:hAnsi="Garamond"/>
          <w:color w:val="000000"/>
          <w:sz w:val="28"/>
        </w:rPr>
        <w:t>V. SUMMARY OF THE ARGUMENT</w:t>
      </w:r>
      <w:r>
        <w:rPr>
          <w:rFonts w:ascii="Garamond" w:eastAsia="Garamond" w:hAnsi="Garamond"/>
          <w:color w:val="000000"/>
          <w:sz w:val="28"/>
        </w:rPr>
        <w:tab/>
      </w:r>
    </w:p>
    <w:p w:rsidR="000C6EEF" w:rsidRDefault="002267DA">
      <w:pPr>
        <w:tabs>
          <w:tab w:val="right" w:leader="dot" w:pos="9360"/>
        </w:tabs>
        <w:spacing w:before="412" w:line="318" w:lineRule="exact"/>
        <w:textAlignment w:val="baseline"/>
        <w:rPr>
          <w:rFonts w:ascii="Garamond" w:eastAsia="Garamond" w:hAnsi="Garamond"/>
          <w:color w:val="000000"/>
          <w:sz w:val="28"/>
        </w:rPr>
      </w:pPr>
      <w:r>
        <w:rPr>
          <w:rFonts w:ascii="Garamond" w:eastAsia="Garamond" w:hAnsi="Garamond"/>
          <w:color w:val="000000"/>
          <w:sz w:val="28"/>
        </w:rPr>
        <w:t>VI. ARGUMENT</w:t>
      </w:r>
      <w:r>
        <w:rPr>
          <w:rFonts w:ascii="Garamond" w:eastAsia="Garamond" w:hAnsi="Garamond"/>
          <w:color w:val="000000"/>
          <w:sz w:val="28"/>
        </w:rPr>
        <w:tab/>
      </w:r>
    </w:p>
    <w:p w:rsidR="000C6EEF" w:rsidRDefault="002267DA">
      <w:pPr>
        <w:tabs>
          <w:tab w:val="right" w:leader="dot" w:pos="9360"/>
        </w:tabs>
        <w:spacing w:before="416" w:line="318" w:lineRule="exact"/>
        <w:textAlignment w:val="baseline"/>
        <w:rPr>
          <w:rFonts w:ascii="Garamond" w:eastAsia="Garamond" w:hAnsi="Garamond"/>
          <w:color w:val="000000"/>
          <w:sz w:val="28"/>
        </w:rPr>
      </w:pPr>
      <w:r>
        <w:rPr>
          <w:rFonts w:ascii="Garamond" w:eastAsia="Garamond" w:hAnsi="Garamond"/>
          <w:color w:val="000000"/>
          <w:sz w:val="28"/>
        </w:rPr>
        <w:t>VII. CONCLUSION</w:t>
      </w:r>
      <w:r>
        <w:rPr>
          <w:rFonts w:ascii="Garamond" w:eastAsia="Garamond" w:hAnsi="Garamond"/>
          <w:color w:val="000000"/>
          <w:sz w:val="28"/>
        </w:rPr>
        <w:tab/>
      </w:r>
    </w:p>
    <w:p w:rsidR="000C6EEF" w:rsidRDefault="002267DA">
      <w:pPr>
        <w:tabs>
          <w:tab w:val="left" w:pos="720"/>
          <w:tab w:val="right" w:leader="dot" w:pos="9360"/>
        </w:tabs>
        <w:spacing w:before="416" w:line="318" w:lineRule="exact"/>
        <w:textAlignment w:val="baseline"/>
        <w:rPr>
          <w:rFonts w:ascii="Garamond" w:eastAsia="Garamond" w:hAnsi="Garamond"/>
          <w:color w:val="000000"/>
          <w:sz w:val="28"/>
        </w:rPr>
      </w:pPr>
      <w:r>
        <w:rPr>
          <w:rFonts w:ascii="Garamond" w:eastAsia="Garamond" w:hAnsi="Garamond"/>
          <w:color w:val="000000"/>
          <w:sz w:val="28"/>
        </w:rPr>
        <w:t>IX.</w:t>
      </w:r>
      <w:r>
        <w:rPr>
          <w:rFonts w:ascii="Garamond" w:eastAsia="Garamond" w:hAnsi="Garamond"/>
          <w:color w:val="000000"/>
          <w:sz w:val="28"/>
        </w:rPr>
        <w:tab/>
        <w:t>PROOF OF SERVICE</w:t>
      </w:r>
      <w:r>
        <w:rPr>
          <w:rFonts w:ascii="Garamond" w:eastAsia="Garamond" w:hAnsi="Garamond"/>
          <w:color w:val="000000"/>
          <w:sz w:val="28"/>
        </w:rPr>
        <w:tab/>
      </w:r>
    </w:p>
    <w:p w:rsidR="000C6EEF" w:rsidRDefault="002267DA">
      <w:pPr>
        <w:tabs>
          <w:tab w:val="right" w:leader="dot" w:pos="9360"/>
        </w:tabs>
        <w:spacing w:before="412" w:after="3056" w:line="318" w:lineRule="exact"/>
        <w:textAlignment w:val="baseline"/>
        <w:rPr>
          <w:rFonts w:ascii="Garamond" w:eastAsia="Garamond" w:hAnsi="Garamond"/>
          <w:color w:val="000000"/>
          <w:sz w:val="28"/>
        </w:rPr>
      </w:pPr>
      <w:r>
        <w:rPr>
          <w:rFonts w:ascii="Garamond" w:eastAsia="Garamond" w:hAnsi="Garamond"/>
          <w:color w:val="000000"/>
          <w:sz w:val="28"/>
        </w:rPr>
        <w:lastRenderedPageBreak/>
        <w:t>X. CERTIFICATE OF COMPLIANCE</w:t>
      </w:r>
      <w:r>
        <w:rPr>
          <w:rFonts w:ascii="Garamond" w:eastAsia="Garamond" w:hAnsi="Garamond"/>
          <w:color w:val="000000"/>
          <w:sz w:val="28"/>
        </w:rPr>
        <w:tab/>
      </w:r>
    </w:p>
    <w:p w:rsidR="000C6EEF" w:rsidRDefault="000C6EEF">
      <w:pPr>
        <w:spacing w:before="412" w:after="3056" w:line="318" w:lineRule="exact"/>
        <w:sectPr w:rsidR="000C6EEF" w:rsidSect="006372E3">
          <w:type w:val="continuous"/>
          <w:pgSz w:w="12240" w:h="15840"/>
          <w:pgMar w:top="1170" w:right="1407" w:bottom="540" w:left="1393" w:header="720" w:footer="720" w:gutter="0"/>
          <w:cols w:space="720"/>
        </w:sectPr>
      </w:pPr>
    </w:p>
    <w:p w:rsidR="000C6EEF" w:rsidRDefault="000C6EEF">
      <w:pPr>
        <w:sectPr w:rsidR="000C6EEF">
          <w:type w:val="continuous"/>
          <w:pgSz w:w="12240" w:h="15840"/>
          <w:pgMar w:top="220" w:right="1392" w:bottom="304" w:left="1408" w:header="720" w:footer="720" w:gutter="0"/>
          <w:cols w:space="720"/>
        </w:sectPr>
      </w:pPr>
    </w:p>
    <w:p w:rsidR="000C6EEF" w:rsidRDefault="002267DA">
      <w:pPr>
        <w:spacing w:before="973" w:line="317" w:lineRule="exact"/>
        <w:ind w:left="72"/>
        <w:jc w:val="center"/>
        <w:textAlignment w:val="baseline"/>
        <w:rPr>
          <w:rFonts w:ascii="Tahoma" w:eastAsia="Tahoma" w:hAnsi="Tahoma"/>
          <w:b/>
          <w:color w:val="000000"/>
          <w:spacing w:val="1"/>
          <w:sz w:val="26"/>
        </w:rPr>
      </w:pPr>
      <w:r>
        <w:rPr>
          <w:rFonts w:ascii="Tahoma" w:eastAsia="Tahoma" w:hAnsi="Tahoma"/>
          <w:b/>
          <w:color w:val="000000"/>
          <w:spacing w:val="1"/>
          <w:sz w:val="26"/>
        </w:rPr>
        <w:lastRenderedPageBreak/>
        <w:t>TABLE OF AUTHORITIES</w:t>
      </w:r>
    </w:p>
    <w:p w:rsidR="000C6EEF" w:rsidRDefault="002267DA">
      <w:pPr>
        <w:spacing w:before="804" w:line="310" w:lineRule="exact"/>
        <w:ind w:left="72"/>
        <w:textAlignment w:val="baseline"/>
        <w:rPr>
          <w:rFonts w:eastAsia="Times New Roman"/>
          <w:b/>
          <w:color w:val="000000"/>
          <w:spacing w:val="1"/>
          <w:sz w:val="27"/>
        </w:rPr>
      </w:pPr>
      <w:r>
        <w:rPr>
          <w:rFonts w:eastAsia="Times New Roman"/>
          <w:b/>
          <w:color w:val="000000"/>
          <w:spacing w:val="1"/>
          <w:sz w:val="27"/>
        </w:rPr>
        <w:t>CASES</w:t>
      </w:r>
    </w:p>
    <w:p w:rsidR="000C6EEF" w:rsidRDefault="000C6EEF">
      <w:pPr>
        <w:tabs>
          <w:tab w:val="right" w:leader="dot" w:pos="9360"/>
        </w:tabs>
        <w:spacing w:before="17" w:line="303" w:lineRule="exact"/>
        <w:ind w:left="288"/>
        <w:textAlignment w:val="baseline"/>
        <w:rPr>
          <w:rFonts w:ascii="Garamond" w:eastAsia="Garamond" w:hAnsi="Garamond"/>
          <w:color w:val="000000"/>
          <w:sz w:val="29"/>
        </w:rPr>
      </w:pPr>
    </w:p>
    <w:p w:rsidR="000C6EEF" w:rsidRDefault="002267DA">
      <w:pPr>
        <w:spacing w:before="550" w:line="272" w:lineRule="exact"/>
        <w:ind w:left="72"/>
        <w:textAlignment w:val="baseline"/>
        <w:rPr>
          <w:rFonts w:ascii="Garamond" w:eastAsia="Garamond" w:hAnsi="Garamond"/>
          <w:b/>
          <w:color w:val="000000"/>
          <w:spacing w:val="-7"/>
          <w:sz w:val="27"/>
        </w:rPr>
      </w:pPr>
      <w:r>
        <w:rPr>
          <w:rFonts w:ascii="Garamond" w:eastAsia="Garamond" w:hAnsi="Garamond"/>
          <w:b/>
          <w:color w:val="000000"/>
          <w:spacing w:val="-7"/>
          <w:sz w:val="27"/>
        </w:rPr>
        <w:t>STATUTES</w:t>
      </w:r>
    </w:p>
    <w:p w:rsidR="000C6EEF" w:rsidRDefault="000C6EEF">
      <w:pPr>
        <w:sectPr w:rsidR="000C6EEF" w:rsidSect="006372E3">
          <w:pgSz w:w="12240" w:h="15840"/>
          <w:pgMar w:top="1080" w:right="1407" w:bottom="304" w:left="1393" w:header="720" w:footer="720" w:gutter="0"/>
          <w:cols w:space="720"/>
        </w:sectPr>
      </w:pPr>
    </w:p>
    <w:p w:rsidR="000C6EEF" w:rsidRDefault="002267DA">
      <w:pPr>
        <w:spacing w:before="853" w:line="310" w:lineRule="exact"/>
        <w:textAlignment w:val="baseline"/>
        <w:rPr>
          <w:rFonts w:eastAsia="Times New Roman"/>
          <w:b/>
          <w:color w:val="000000"/>
          <w:spacing w:val="5"/>
          <w:sz w:val="27"/>
        </w:rPr>
      </w:pPr>
      <w:r>
        <w:rPr>
          <w:rFonts w:eastAsia="Times New Roman"/>
          <w:b/>
          <w:color w:val="000000"/>
          <w:spacing w:val="5"/>
          <w:sz w:val="27"/>
        </w:rPr>
        <w:t>REGULATIONS</w:t>
      </w:r>
    </w:p>
    <w:p w:rsidR="000C6EEF" w:rsidRDefault="002267DA">
      <w:pPr>
        <w:tabs>
          <w:tab w:val="right" w:leader="dot" w:pos="9360"/>
        </w:tabs>
        <w:spacing w:line="648" w:lineRule="exact"/>
        <w:textAlignment w:val="baseline"/>
        <w:rPr>
          <w:rFonts w:ascii="Garamond" w:eastAsia="Garamond" w:hAnsi="Garamond"/>
          <w:color w:val="000000"/>
          <w:sz w:val="29"/>
        </w:rPr>
      </w:pPr>
      <w:r>
        <w:rPr>
          <w:rFonts w:eastAsia="Times New Roman"/>
          <w:b/>
          <w:color w:val="000000"/>
          <w:sz w:val="27"/>
        </w:rPr>
        <w:t>OTHER AUTHORITIES</w:t>
      </w:r>
    </w:p>
    <w:p w:rsidR="000C6EEF" w:rsidRDefault="000C6EEF">
      <w:pPr>
        <w:spacing w:before="3" w:line="273" w:lineRule="exact"/>
        <w:jc w:val="center"/>
        <w:textAlignment w:val="baseline"/>
        <w:rPr>
          <w:rFonts w:eastAsia="Times New Roman"/>
          <w:color w:val="000000"/>
          <w:spacing w:val="25"/>
          <w:sz w:val="24"/>
        </w:rPr>
      </w:pPr>
    </w:p>
    <w:p w:rsidR="000C6EEF" w:rsidRDefault="000C6EEF">
      <w:pPr>
        <w:sectPr w:rsidR="000C6EEF">
          <w:type w:val="continuous"/>
          <w:pgSz w:w="12240" w:h="15840"/>
          <w:pgMar w:top="220" w:right="1397" w:bottom="304" w:left="1403" w:header="720" w:footer="720" w:gutter="0"/>
          <w:cols w:space="720"/>
        </w:sectPr>
      </w:pPr>
    </w:p>
    <w:p w:rsidR="000C6EEF" w:rsidRPr="00E21F9C" w:rsidRDefault="002267DA" w:rsidP="00C4208C">
      <w:pPr>
        <w:numPr>
          <w:ilvl w:val="0"/>
          <w:numId w:val="6"/>
        </w:numPr>
        <w:tabs>
          <w:tab w:val="clear" w:pos="576"/>
          <w:tab w:val="left" w:pos="720"/>
        </w:tabs>
        <w:spacing w:line="480" w:lineRule="auto"/>
        <w:ind w:left="144"/>
        <w:textAlignment w:val="baseline"/>
        <w:rPr>
          <w:rFonts w:ascii="Garamond" w:eastAsia="Tahoma" w:hAnsi="Garamond"/>
          <w:b/>
          <w:color w:val="000000"/>
          <w:spacing w:val="5"/>
          <w:sz w:val="28"/>
          <w:szCs w:val="28"/>
        </w:rPr>
      </w:pPr>
      <w:r w:rsidRPr="00E21F9C">
        <w:rPr>
          <w:rFonts w:ascii="Garamond" w:eastAsia="Tahoma" w:hAnsi="Garamond"/>
          <w:b/>
          <w:color w:val="000000"/>
          <w:spacing w:val="5"/>
          <w:sz w:val="28"/>
          <w:szCs w:val="28"/>
        </w:rPr>
        <w:lastRenderedPageBreak/>
        <w:t>STATEMENT OF RELATED CASES</w:t>
      </w:r>
    </w:p>
    <w:p w:rsidR="000C6EEF" w:rsidRDefault="002267DA" w:rsidP="00E11EAA">
      <w:pPr>
        <w:spacing w:line="480" w:lineRule="auto"/>
        <w:ind w:right="432" w:firstLine="720"/>
        <w:textAlignment w:val="baseline"/>
        <w:rPr>
          <w:rFonts w:ascii="Garamond" w:eastAsia="Garamond" w:hAnsi="Garamond"/>
          <w:color w:val="000000"/>
          <w:sz w:val="28"/>
        </w:rPr>
      </w:pPr>
      <w:r>
        <w:rPr>
          <w:rFonts w:ascii="Garamond" w:eastAsia="Garamond" w:hAnsi="Garamond"/>
          <w:color w:val="000000"/>
          <w:sz w:val="28"/>
        </w:rPr>
        <w:t xml:space="preserve">There are no other appeals in or from the proceedings below that were previously before this or any other appellate court. U.S. Pat. </w:t>
      </w:r>
      <w:r w:rsidR="009C7675">
        <w:rPr>
          <w:rFonts w:ascii="Garamond" w:eastAsia="Garamond" w:hAnsi="Garamond"/>
          <w:color w:val="000000"/>
          <w:sz w:val="28"/>
        </w:rPr>
        <w:t xml:space="preserve">No. </w:t>
      </w:r>
      <w:r w:rsidR="00DD1066">
        <w:rPr>
          <w:rFonts w:ascii="Garamond" w:eastAsia="Garamond" w:hAnsi="Garamond"/>
          <w:color w:val="000000"/>
          <w:sz w:val="28"/>
        </w:rPr>
        <w:t>7,058,</w:t>
      </w:r>
      <w:r w:rsidR="00386CF3">
        <w:rPr>
          <w:rFonts w:ascii="Garamond" w:eastAsia="Garamond" w:hAnsi="Garamond"/>
          <w:color w:val="000000"/>
          <w:sz w:val="28"/>
        </w:rPr>
        <w:t>5</w:t>
      </w:r>
      <w:r w:rsidR="00DD1066">
        <w:rPr>
          <w:rFonts w:ascii="Garamond" w:eastAsia="Garamond" w:hAnsi="Garamond"/>
          <w:color w:val="000000"/>
          <w:sz w:val="28"/>
        </w:rPr>
        <w:t xml:space="preserve">24 (the “’524 </w:t>
      </w:r>
      <w:r>
        <w:rPr>
          <w:rFonts w:ascii="Garamond" w:eastAsia="Garamond" w:hAnsi="Garamond"/>
          <w:color w:val="000000"/>
          <w:sz w:val="28"/>
        </w:rPr>
        <w:t xml:space="preserve">patent”), which is the subject of this appeal, is also at issue in </w:t>
      </w:r>
      <w:r w:rsidR="00DD1066">
        <w:rPr>
          <w:rFonts w:ascii="Garamond" w:eastAsia="Garamond" w:hAnsi="Garamond"/>
          <w:i/>
          <w:color w:val="000000"/>
          <w:sz w:val="29"/>
        </w:rPr>
        <w:t>Smart Meter Technologies Inc. v. Duke Energy Corporation</w:t>
      </w:r>
      <w:r w:rsidR="00DD1066">
        <w:rPr>
          <w:rFonts w:ascii="Garamond" w:eastAsia="Garamond" w:hAnsi="Garamond"/>
          <w:color w:val="000000"/>
          <w:sz w:val="29"/>
        </w:rPr>
        <w:t>,</w:t>
      </w:r>
      <w:r w:rsidR="00DD1066">
        <w:rPr>
          <w:rFonts w:ascii="Garamond" w:eastAsia="Garamond" w:hAnsi="Garamond"/>
          <w:i/>
          <w:color w:val="000000"/>
          <w:sz w:val="29"/>
        </w:rPr>
        <w:t xml:space="preserve"> </w:t>
      </w:r>
      <w:r>
        <w:rPr>
          <w:rFonts w:ascii="Garamond" w:eastAsia="Garamond" w:hAnsi="Garamond"/>
          <w:color w:val="000000"/>
          <w:sz w:val="28"/>
        </w:rPr>
        <w:t xml:space="preserve">Case No. </w:t>
      </w:r>
      <w:r w:rsidR="00DD1066">
        <w:rPr>
          <w:rFonts w:ascii="Garamond" w:eastAsia="Garamond" w:hAnsi="Garamond"/>
          <w:color w:val="000000"/>
          <w:sz w:val="28"/>
        </w:rPr>
        <w:t>1:16-cv-000208 (D. Del.)</w:t>
      </w:r>
      <w:r>
        <w:rPr>
          <w:rFonts w:ascii="Garamond" w:eastAsia="Garamond" w:hAnsi="Garamond"/>
          <w:color w:val="000000"/>
          <w:sz w:val="28"/>
        </w:rPr>
        <w:t xml:space="preserve">, currently stayed. </w:t>
      </w:r>
    </w:p>
    <w:p w:rsidR="000C6EEF" w:rsidRPr="00E21F9C" w:rsidRDefault="002267DA" w:rsidP="00E11EAA">
      <w:pPr>
        <w:numPr>
          <w:ilvl w:val="0"/>
          <w:numId w:val="6"/>
        </w:numPr>
        <w:tabs>
          <w:tab w:val="clear" w:pos="576"/>
          <w:tab w:val="left" w:pos="720"/>
        </w:tabs>
        <w:spacing w:line="480" w:lineRule="auto"/>
        <w:ind w:left="144"/>
        <w:textAlignment w:val="baseline"/>
        <w:rPr>
          <w:rFonts w:ascii="Garamond" w:eastAsia="Tahoma" w:hAnsi="Garamond"/>
          <w:b/>
          <w:color w:val="000000"/>
          <w:spacing w:val="2"/>
          <w:sz w:val="28"/>
          <w:szCs w:val="28"/>
        </w:rPr>
      </w:pPr>
      <w:r w:rsidRPr="00E21F9C">
        <w:rPr>
          <w:rFonts w:ascii="Garamond" w:eastAsia="Tahoma" w:hAnsi="Garamond"/>
          <w:b/>
          <w:color w:val="000000"/>
          <w:spacing w:val="2"/>
          <w:sz w:val="28"/>
          <w:szCs w:val="28"/>
        </w:rPr>
        <w:t>JURISDICTIONAL STATEMENT</w:t>
      </w:r>
    </w:p>
    <w:p w:rsidR="000C6EEF" w:rsidRDefault="002267DA">
      <w:pPr>
        <w:spacing w:line="661" w:lineRule="exact"/>
        <w:ind w:right="72" w:firstLine="720"/>
        <w:textAlignment w:val="baseline"/>
        <w:rPr>
          <w:rFonts w:ascii="Garamond" w:eastAsia="Garamond" w:hAnsi="Garamond"/>
          <w:color w:val="000000"/>
          <w:spacing w:val="2"/>
          <w:sz w:val="28"/>
        </w:rPr>
      </w:pPr>
      <w:r>
        <w:rPr>
          <w:rFonts w:ascii="Garamond" w:eastAsia="Garamond" w:hAnsi="Garamond"/>
          <w:color w:val="000000"/>
          <w:spacing w:val="2"/>
          <w:sz w:val="28"/>
        </w:rPr>
        <w:t>This is an appeal under 35 U.S.C. § 141(c) of a Final Written Decision of the United States Patent and Trademark Office (“USPTO”) Patent Trial and Appeal Board (“Board”) under 35 U.S.C. § 318(a) in Case No. IPR201</w:t>
      </w:r>
      <w:r w:rsidR="00DD1066">
        <w:rPr>
          <w:rFonts w:ascii="Garamond" w:eastAsia="Garamond" w:hAnsi="Garamond"/>
          <w:color w:val="000000"/>
          <w:spacing w:val="2"/>
          <w:sz w:val="28"/>
        </w:rPr>
        <w:t>7</w:t>
      </w:r>
      <w:r>
        <w:rPr>
          <w:rFonts w:ascii="Garamond" w:eastAsia="Garamond" w:hAnsi="Garamond"/>
          <w:color w:val="000000"/>
          <w:spacing w:val="2"/>
          <w:sz w:val="28"/>
        </w:rPr>
        <w:t>-011</w:t>
      </w:r>
      <w:r w:rsidR="00DD1066">
        <w:rPr>
          <w:rFonts w:ascii="Garamond" w:eastAsia="Garamond" w:hAnsi="Garamond"/>
          <w:color w:val="000000"/>
          <w:spacing w:val="2"/>
          <w:sz w:val="28"/>
        </w:rPr>
        <w:t>99</w:t>
      </w:r>
      <w:r>
        <w:rPr>
          <w:rFonts w:ascii="Garamond" w:eastAsia="Garamond" w:hAnsi="Garamond"/>
          <w:color w:val="000000"/>
          <w:spacing w:val="2"/>
          <w:sz w:val="28"/>
        </w:rPr>
        <w:t>, finding claim</w:t>
      </w:r>
      <w:r w:rsidR="00DD1066">
        <w:rPr>
          <w:rFonts w:ascii="Garamond" w:eastAsia="Garamond" w:hAnsi="Garamond"/>
          <w:color w:val="000000"/>
          <w:spacing w:val="2"/>
          <w:sz w:val="28"/>
        </w:rPr>
        <w:t>s</w:t>
      </w:r>
      <w:r>
        <w:rPr>
          <w:rFonts w:ascii="Garamond" w:eastAsia="Garamond" w:hAnsi="Garamond"/>
          <w:color w:val="000000"/>
          <w:spacing w:val="2"/>
          <w:sz w:val="28"/>
        </w:rPr>
        <w:t xml:space="preserve"> </w:t>
      </w:r>
      <w:r w:rsidR="00DD1066">
        <w:rPr>
          <w:rFonts w:ascii="Garamond" w:eastAsia="Garamond" w:hAnsi="Garamond"/>
          <w:color w:val="000000"/>
          <w:spacing w:val="2"/>
          <w:sz w:val="28"/>
        </w:rPr>
        <w:t>17 - 22</w:t>
      </w:r>
      <w:r>
        <w:rPr>
          <w:rFonts w:ascii="Garamond" w:eastAsia="Garamond" w:hAnsi="Garamond"/>
          <w:color w:val="000000"/>
          <w:spacing w:val="2"/>
          <w:sz w:val="28"/>
        </w:rPr>
        <w:t xml:space="preserve"> of</w:t>
      </w:r>
      <w:r w:rsidR="00DD1066">
        <w:rPr>
          <w:rFonts w:ascii="Garamond" w:eastAsia="Garamond" w:hAnsi="Garamond"/>
          <w:color w:val="000000"/>
          <w:spacing w:val="2"/>
          <w:sz w:val="28"/>
        </w:rPr>
        <w:t xml:space="preserve"> the ’524</w:t>
      </w:r>
      <w:r>
        <w:rPr>
          <w:rFonts w:ascii="Garamond" w:eastAsia="Garamond" w:hAnsi="Garamond"/>
          <w:color w:val="000000"/>
          <w:spacing w:val="2"/>
          <w:sz w:val="28"/>
        </w:rPr>
        <w:t xml:space="preserve"> patent, unpatentable. Patent Owner, </w:t>
      </w:r>
      <w:r w:rsidR="00DD1066">
        <w:rPr>
          <w:rFonts w:ascii="Garamond" w:eastAsia="Garamond" w:hAnsi="Garamond"/>
          <w:color w:val="000000"/>
          <w:spacing w:val="2"/>
          <w:sz w:val="28"/>
        </w:rPr>
        <w:t>Smart Meter Technologies Inc</w:t>
      </w:r>
      <w:r>
        <w:rPr>
          <w:rFonts w:ascii="Garamond" w:eastAsia="Garamond" w:hAnsi="Garamond"/>
          <w:color w:val="000000"/>
          <w:spacing w:val="2"/>
          <w:sz w:val="28"/>
        </w:rPr>
        <w:t>. (“</w:t>
      </w:r>
      <w:r w:rsidR="00DD1066">
        <w:rPr>
          <w:rFonts w:ascii="Garamond" w:eastAsia="Garamond" w:hAnsi="Garamond"/>
          <w:color w:val="000000"/>
          <w:spacing w:val="2"/>
          <w:sz w:val="28"/>
        </w:rPr>
        <w:t>Smart Meter</w:t>
      </w:r>
      <w:r>
        <w:rPr>
          <w:rFonts w:ascii="Garamond" w:eastAsia="Garamond" w:hAnsi="Garamond"/>
          <w:color w:val="000000"/>
          <w:spacing w:val="2"/>
          <w:sz w:val="28"/>
        </w:rPr>
        <w:t xml:space="preserve">”), timely filed and served its Notice of Appeal within the sixty-three-day period established by 37 C.F.R. § 90.3(a) on December </w:t>
      </w:r>
      <w:r w:rsidR="00DD1066">
        <w:rPr>
          <w:rFonts w:ascii="Garamond" w:eastAsia="Garamond" w:hAnsi="Garamond"/>
          <w:color w:val="000000"/>
          <w:spacing w:val="2"/>
          <w:sz w:val="28"/>
        </w:rPr>
        <w:t>10</w:t>
      </w:r>
      <w:r>
        <w:rPr>
          <w:rFonts w:ascii="Garamond" w:eastAsia="Garamond" w:hAnsi="Garamond"/>
          <w:color w:val="000000"/>
          <w:spacing w:val="2"/>
          <w:sz w:val="28"/>
        </w:rPr>
        <w:t>, 201</w:t>
      </w:r>
      <w:r w:rsidR="00DD1066">
        <w:rPr>
          <w:rFonts w:ascii="Garamond" w:eastAsia="Garamond" w:hAnsi="Garamond"/>
          <w:color w:val="000000"/>
          <w:spacing w:val="2"/>
          <w:sz w:val="28"/>
        </w:rPr>
        <w:t>8</w:t>
      </w:r>
      <w:r>
        <w:rPr>
          <w:rFonts w:ascii="Garamond" w:eastAsia="Garamond" w:hAnsi="Garamond"/>
          <w:color w:val="000000"/>
          <w:spacing w:val="2"/>
          <w:sz w:val="28"/>
        </w:rPr>
        <w:t xml:space="preserve">. </w:t>
      </w:r>
      <w:r w:rsidR="00DD1066">
        <w:rPr>
          <w:rFonts w:ascii="Garamond" w:eastAsia="Garamond" w:hAnsi="Garamond"/>
          <w:color w:val="000000"/>
          <w:spacing w:val="2"/>
          <w:sz w:val="28"/>
        </w:rPr>
        <w:t xml:space="preserve"> </w:t>
      </w:r>
      <w:r>
        <w:rPr>
          <w:rFonts w:ascii="Garamond" w:eastAsia="Garamond" w:hAnsi="Garamond"/>
          <w:color w:val="000000"/>
          <w:spacing w:val="2"/>
          <w:sz w:val="28"/>
        </w:rPr>
        <w:t>The Board had jurisdiction over the matters below under 35 U.S.C. § 6(c), and this Court has sole jurisdiction over this appeal under 28 U.S.C. § 1295(a)4(A) and 35 U.S.C. § 141(c).</w:t>
      </w:r>
    </w:p>
    <w:p w:rsidR="000C6EEF" w:rsidRPr="00E21F9C" w:rsidRDefault="002267DA">
      <w:pPr>
        <w:numPr>
          <w:ilvl w:val="0"/>
          <w:numId w:val="7"/>
        </w:numPr>
        <w:spacing w:before="973" w:line="317" w:lineRule="exact"/>
        <w:ind w:left="0"/>
        <w:textAlignment w:val="baseline"/>
        <w:rPr>
          <w:rFonts w:ascii="Garamond" w:eastAsia="Tahoma" w:hAnsi="Garamond"/>
          <w:b/>
          <w:color w:val="000000"/>
          <w:spacing w:val="1"/>
          <w:sz w:val="28"/>
          <w:szCs w:val="28"/>
        </w:rPr>
      </w:pPr>
      <w:r w:rsidRPr="00E21F9C">
        <w:rPr>
          <w:rFonts w:ascii="Garamond" w:eastAsia="Tahoma" w:hAnsi="Garamond"/>
          <w:b/>
          <w:color w:val="000000"/>
          <w:spacing w:val="1"/>
          <w:sz w:val="28"/>
          <w:szCs w:val="28"/>
        </w:rPr>
        <w:t>STATEMENT OF ISSUES PRESENTED FOR REVIEW</w:t>
      </w:r>
    </w:p>
    <w:p w:rsidR="000C6EEF" w:rsidRDefault="00DD1066" w:rsidP="00E11EAA">
      <w:pPr>
        <w:spacing w:line="480" w:lineRule="auto"/>
        <w:ind w:firstLine="720"/>
        <w:textAlignment w:val="baseline"/>
        <w:rPr>
          <w:rFonts w:ascii="Garamond" w:eastAsia="Garamond" w:hAnsi="Garamond"/>
          <w:color w:val="000000"/>
          <w:spacing w:val="-1"/>
          <w:sz w:val="28"/>
        </w:rPr>
      </w:pPr>
      <w:r>
        <w:rPr>
          <w:rFonts w:ascii="Garamond" w:eastAsia="Garamond" w:hAnsi="Garamond"/>
          <w:color w:val="000000"/>
          <w:spacing w:val="-1"/>
          <w:sz w:val="28"/>
        </w:rPr>
        <w:t>The Board concluded that claims 17 - 22 of the ’524</w:t>
      </w:r>
      <w:r w:rsidR="002267DA">
        <w:rPr>
          <w:rFonts w:ascii="Garamond" w:eastAsia="Garamond" w:hAnsi="Garamond"/>
          <w:color w:val="000000"/>
          <w:spacing w:val="-1"/>
          <w:sz w:val="28"/>
        </w:rPr>
        <w:t xml:space="preserve"> patent w</w:t>
      </w:r>
      <w:r>
        <w:rPr>
          <w:rFonts w:ascii="Garamond" w:eastAsia="Garamond" w:hAnsi="Garamond"/>
          <w:color w:val="000000"/>
          <w:spacing w:val="-1"/>
          <w:sz w:val="28"/>
        </w:rPr>
        <w:t>ere</w:t>
      </w:r>
      <w:r w:rsidR="002267DA">
        <w:rPr>
          <w:rFonts w:ascii="Garamond" w:eastAsia="Garamond" w:hAnsi="Garamond"/>
          <w:color w:val="000000"/>
          <w:spacing w:val="-1"/>
          <w:sz w:val="28"/>
        </w:rPr>
        <w:t xml:space="preserve"> unpatentable under 35 U.S.C. § 103(a) in view of </w:t>
      </w:r>
      <w:r>
        <w:rPr>
          <w:rFonts w:ascii="Garamond" w:eastAsia="Garamond" w:hAnsi="Garamond"/>
          <w:color w:val="000000"/>
          <w:spacing w:val="-1"/>
          <w:sz w:val="28"/>
        </w:rPr>
        <w:t>Suh, et al. (U.S. Patent App. Pub. No. 2002/0161536 A1 (Published Oct. 31, 2002) (Ex. 1006,</w:t>
      </w:r>
      <w:r w:rsidR="00A950DB">
        <w:rPr>
          <w:rFonts w:ascii="Garamond" w:eastAsia="Garamond" w:hAnsi="Garamond"/>
          <w:color w:val="000000"/>
          <w:spacing w:val="-1"/>
          <w:sz w:val="28"/>
        </w:rPr>
        <w:t xml:space="preserve"> Suh, APPX0910 – APPX0920)</w:t>
      </w:r>
      <w:r w:rsidR="002267DA">
        <w:rPr>
          <w:rFonts w:ascii="Garamond" w:eastAsia="Garamond" w:hAnsi="Garamond"/>
          <w:color w:val="000000"/>
          <w:spacing w:val="-1"/>
          <w:sz w:val="28"/>
        </w:rPr>
        <w:t xml:space="preserve"> (“</w:t>
      </w:r>
      <w:r w:rsidR="00A950DB">
        <w:rPr>
          <w:rFonts w:ascii="Garamond" w:eastAsia="Garamond" w:hAnsi="Garamond"/>
          <w:color w:val="000000"/>
          <w:spacing w:val="-1"/>
          <w:sz w:val="28"/>
        </w:rPr>
        <w:t>Suh</w:t>
      </w:r>
      <w:r w:rsidR="002267DA">
        <w:rPr>
          <w:rFonts w:ascii="Garamond" w:eastAsia="Garamond" w:hAnsi="Garamond"/>
          <w:color w:val="000000"/>
          <w:spacing w:val="-1"/>
          <w:sz w:val="28"/>
        </w:rPr>
        <w:t xml:space="preserve">”). In doing so, the Board determined that the level of ordinary skill in the art was </w:t>
      </w:r>
      <w:r w:rsidR="002267DA">
        <w:rPr>
          <w:rFonts w:ascii="Garamond" w:eastAsia="Garamond" w:hAnsi="Garamond"/>
          <w:color w:val="000000"/>
          <w:spacing w:val="-1"/>
          <w:sz w:val="28"/>
        </w:rPr>
        <w:lastRenderedPageBreak/>
        <w:t>the same level of skill needed to produce the claimed invention, and, further, that a person possessing such skill would find the invention obvious</w:t>
      </w:r>
      <w:r w:rsidR="00A950DB">
        <w:rPr>
          <w:rFonts w:ascii="Garamond" w:eastAsia="Garamond" w:hAnsi="Garamond"/>
          <w:color w:val="000000"/>
          <w:spacing w:val="-1"/>
          <w:sz w:val="28"/>
        </w:rPr>
        <w:t xml:space="preserve"> despite testimony from Itron’s expert, Dr. Akl, to the contrary, and despite failing to </w:t>
      </w:r>
      <w:r w:rsidR="00412A62">
        <w:rPr>
          <w:rFonts w:ascii="Garamond" w:eastAsia="Garamond" w:hAnsi="Garamond"/>
          <w:color w:val="000000"/>
          <w:spacing w:val="-1"/>
          <w:sz w:val="28"/>
        </w:rPr>
        <w:t xml:space="preserve">completely </w:t>
      </w:r>
      <w:r w:rsidR="00A950DB">
        <w:rPr>
          <w:rFonts w:ascii="Garamond" w:eastAsia="Garamond" w:hAnsi="Garamond"/>
          <w:color w:val="000000"/>
          <w:spacing w:val="-1"/>
          <w:sz w:val="28"/>
        </w:rPr>
        <w:t>construe the only limitation of the claim at issue in the proceeding</w:t>
      </w:r>
      <w:r w:rsidR="002267DA">
        <w:rPr>
          <w:rFonts w:ascii="Garamond" w:eastAsia="Garamond" w:hAnsi="Garamond"/>
          <w:color w:val="000000"/>
          <w:spacing w:val="-1"/>
          <w:sz w:val="28"/>
        </w:rPr>
        <w:t>. The questions presented for this Court are whether the Board erred in its approach to resolving the issue of claim</w:t>
      </w:r>
      <w:r w:rsidR="00A950DB">
        <w:rPr>
          <w:rFonts w:ascii="Garamond" w:eastAsia="Garamond" w:hAnsi="Garamond"/>
          <w:color w:val="000000"/>
          <w:spacing w:val="-1"/>
          <w:sz w:val="28"/>
        </w:rPr>
        <w:t>s</w:t>
      </w:r>
      <w:r w:rsidR="002267DA">
        <w:rPr>
          <w:rFonts w:ascii="Garamond" w:eastAsia="Garamond" w:hAnsi="Garamond"/>
          <w:color w:val="000000"/>
          <w:spacing w:val="-1"/>
          <w:sz w:val="28"/>
        </w:rPr>
        <w:t xml:space="preserve"> </w:t>
      </w:r>
      <w:r w:rsidR="00A950DB">
        <w:rPr>
          <w:rFonts w:ascii="Garamond" w:eastAsia="Garamond" w:hAnsi="Garamond"/>
          <w:color w:val="000000"/>
          <w:spacing w:val="-1"/>
          <w:sz w:val="28"/>
        </w:rPr>
        <w:t>17 - 22</w:t>
      </w:r>
      <w:r w:rsidR="002267DA">
        <w:rPr>
          <w:rFonts w:ascii="Garamond" w:eastAsia="Garamond" w:hAnsi="Garamond"/>
          <w:color w:val="000000"/>
          <w:spacing w:val="-1"/>
          <w:sz w:val="28"/>
        </w:rPr>
        <w:t>’s nonobviousness and its ultimate determination thereof</w:t>
      </w:r>
      <w:r w:rsidR="00DC0465">
        <w:rPr>
          <w:rFonts w:ascii="Garamond" w:eastAsia="Garamond" w:hAnsi="Garamond"/>
          <w:color w:val="000000"/>
          <w:spacing w:val="-1"/>
          <w:sz w:val="28"/>
        </w:rPr>
        <w:t xml:space="preserve">, including whether the Board erred in declining to construe the limitation “autonomously in IP format </w:t>
      </w:r>
      <w:r w:rsidR="00DC0465">
        <w:rPr>
          <w:rFonts w:ascii="Garamond" w:eastAsia="Garamond" w:hAnsi="Garamond"/>
          <w:i/>
          <w:color w:val="000000"/>
          <w:spacing w:val="-1"/>
          <w:sz w:val="28"/>
        </w:rPr>
        <w:t>over an external power line network</w:t>
      </w:r>
      <w:r w:rsidR="009C7675">
        <w:rPr>
          <w:rFonts w:ascii="Garamond" w:eastAsia="Garamond" w:hAnsi="Garamond"/>
          <w:color w:val="000000"/>
          <w:spacing w:val="-1"/>
          <w:sz w:val="28"/>
        </w:rPr>
        <w:t>.</w:t>
      </w:r>
      <w:r w:rsidR="00DC0465">
        <w:rPr>
          <w:rFonts w:ascii="Garamond" w:eastAsia="Garamond" w:hAnsi="Garamond"/>
          <w:color w:val="000000"/>
          <w:spacing w:val="-1"/>
          <w:sz w:val="28"/>
        </w:rPr>
        <w:t>”</w:t>
      </w:r>
    </w:p>
    <w:p w:rsidR="000C6EEF" w:rsidRPr="00E21F9C" w:rsidRDefault="002267DA" w:rsidP="00E11EAA">
      <w:pPr>
        <w:numPr>
          <w:ilvl w:val="0"/>
          <w:numId w:val="7"/>
        </w:numPr>
        <w:spacing w:line="480" w:lineRule="auto"/>
        <w:ind w:left="0"/>
        <w:textAlignment w:val="baseline"/>
        <w:rPr>
          <w:rFonts w:ascii="Garamond" w:eastAsia="Tahoma" w:hAnsi="Garamond"/>
          <w:b/>
          <w:color w:val="000000"/>
          <w:spacing w:val="4"/>
          <w:sz w:val="28"/>
          <w:szCs w:val="28"/>
        </w:rPr>
      </w:pPr>
      <w:r w:rsidRPr="00E21F9C">
        <w:rPr>
          <w:rFonts w:ascii="Garamond" w:eastAsia="Tahoma" w:hAnsi="Garamond"/>
          <w:b/>
          <w:color w:val="000000"/>
          <w:spacing w:val="4"/>
          <w:sz w:val="28"/>
          <w:szCs w:val="28"/>
        </w:rPr>
        <w:t>STATEMENT OF THE CASE</w:t>
      </w:r>
    </w:p>
    <w:p w:rsidR="00FE6234" w:rsidRDefault="00C81635" w:rsidP="009C223D">
      <w:pPr>
        <w:spacing w:line="662" w:lineRule="exact"/>
        <w:ind w:right="72" w:firstLine="720"/>
        <w:textAlignment w:val="baseline"/>
        <w:rPr>
          <w:rFonts w:ascii="Garamond" w:eastAsia="Garamond" w:hAnsi="Garamond"/>
          <w:color w:val="000000"/>
          <w:spacing w:val="-2"/>
          <w:sz w:val="28"/>
        </w:rPr>
      </w:pPr>
      <w:r>
        <w:rPr>
          <w:rFonts w:ascii="Garamond" w:eastAsia="Garamond" w:hAnsi="Garamond"/>
          <w:color w:val="000000"/>
          <w:spacing w:val="-2"/>
          <w:sz w:val="28"/>
        </w:rPr>
        <w:t>The ’524 Patent relates generally to measuring and reporting consumption of electrical power at a metered site, such as a home or dwelling</w:t>
      </w:r>
      <w:r w:rsidR="00E71DBC">
        <w:rPr>
          <w:rFonts w:ascii="Garamond" w:eastAsia="Garamond" w:hAnsi="Garamond"/>
          <w:color w:val="000000"/>
          <w:spacing w:val="-2"/>
          <w:sz w:val="28"/>
        </w:rPr>
        <w:t xml:space="preserve"> and reporting those measurements </w:t>
      </w:r>
      <w:r w:rsidR="005067BA">
        <w:rPr>
          <w:rFonts w:ascii="Garamond" w:eastAsia="Garamond" w:hAnsi="Garamond"/>
          <w:color w:val="000000"/>
          <w:spacing w:val="-2"/>
          <w:sz w:val="28"/>
        </w:rPr>
        <w:t>over a network.  APPX</w:t>
      </w:r>
      <w:r w:rsidR="0028674B">
        <w:rPr>
          <w:rFonts w:ascii="Garamond" w:eastAsia="Garamond" w:hAnsi="Garamond"/>
          <w:color w:val="000000"/>
          <w:spacing w:val="-2"/>
          <w:sz w:val="28"/>
        </w:rPr>
        <w:t>0435 (</w:t>
      </w:r>
      <w:r w:rsidR="00F80BE3">
        <w:rPr>
          <w:rFonts w:ascii="Garamond" w:eastAsia="Garamond" w:hAnsi="Garamond"/>
          <w:color w:val="000000"/>
          <w:spacing w:val="-2"/>
          <w:sz w:val="28"/>
        </w:rPr>
        <w:t>The ’524 Patent, 1:5-11).</w:t>
      </w:r>
      <w:r w:rsidR="0028674B">
        <w:rPr>
          <w:rFonts w:ascii="Garamond" w:eastAsia="Garamond" w:hAnsi="Garamond"/>
          <w:color w:val="000000"/>
          <w:spacing w:val="-2"/>
          <w:sz w:val="28"/>
        </w:rPr>
        <w:t xml:space="preserve">  The patent also discloses converting power consumption measurements into IP</w:t>
      </w:r>
      <w:r w:rsidR="002507E2">
        <w:rPr>
          <w:rFonts w:ascii="Garamond" w:eastAsia="Garamond" w:hAnsi="Garamond"/>
          <w:color w:val="000000"/>
          <w:spacing w:val="-2"/>
          <w:sz w:val="28"/>
        </w:rPr>
        <w:t xml:space="preserve"> format.  </w:t>
      </w:r>
      <w:r w:rsidR="002507E2">
        <w:rPr>
          <w:rFonts w:ascii="Garamond" w:eastAsia="Garamond" w:hAnsi="Garamond"/>
          <w:i/>
          <w:color w:val="000000"/>
          <w:spacing w:val="-2"/>
          <w:sz w:val="28"/>
        </w:rPr>
        <w:t>Id.</w:t>
      </w:r>
      <w:r w:rsidR="002507E2">
        <w:rPr>
          <w:rFonts w:ascii="Garamond" w:eastAsia="Garamond" w:hAnsi="Garamond"/>
          <w:color w:val="000000"/>
          <w:spacing w:val="-2"/>
          <w:sz w:val="28"/>
        </w:rPr>
        <w:t xml:space="preserve"> </w:t>
      </w:r>
      <w:r w:rsidR="00B81E88">
        <w:rPr>
          <w:rFonts w:ascii="Garamond" w:eastAsia="Garamond" w:hAnsi="Garamond"/>
          <w:color w:val="000000"/>
          <w:spacing w:val="-2"/>
          <w:sz w:val="28"/>
        </w:rPr>
        <w:t xml:space="preserve"> In addition to disclosing and claiming transmission of the IP formatted consumption data via wireless networks and traditional telephone modem connection, the ’524 Patent</w:t>
      </w:r>
      <w:r w:rsidR="00866E76">
        <w:rPr>
          <w:rFonts w:ascii="Garamond" w:eastAsia="Garamond" w:hAnsi="Garamond"/>
          <w:color w:val="000000"/>
          <w:spacing w:val="-2"/>
          <w:sz w:val="28"/>
        </w:rPr>
        <w:t xml:space="preserve"> in claim</w:t>
      </w:r>
      <w:r w:rsidR="009C7675">
        <w:rPr>
          <w:rFonts w:ascii="Garamond" w:eastAsia="Garamond" w:hAnsi="Garamond"/>
          <w:color w:val="000000"/>
          <w:spacing w:val="-2"/>
          <w:sz w:val="28"/>
        </w:rPr>
        <w:t>s</w:t>
      </w:r>
      <w:r w:rsidR="00866E76">
        <w:rPr>
          <w:rFonts w:ascii="Garamond" w:eastAsia="Garamond" w:hAnsi="Garamond"/>
          <w:color w:val="000000"/>
          <w:spacing w:val="-2"/>
          <w:sz w:val="28"/>
        </w:rPr>
        <w:t xml:space="preserve"> 17</w:t>
      </w:r>
      <w:r w:rsidR="009C7675">
        <w:rPr>
          <w:rFonts w:ascii="Garamond" w:eastAsia="Garamond" w:hAnsi="Garamond"/>
          <w:color w:val="000000"/>
          <w:spacing w:val="-2"/>
          <w:sz w:val="28"/>
        </w:rPr>
        <w:t xml:space="preserve"> – 22 recite</w:t>
      </w:r>
      <w:r w:rsidR="00B81E88">
        <w:rPr>
          <w:rFonts w:ascii="Garamond" w:eastAsia="Garamond" w:hAnsi="Garamond"/>
          <w:color w:val="000000"/>
          <w:spacing w:val="-2"/>
          <w:sz w:val="28"/>
        </w:rPr>
        <w:t xml:space="preserve"> transmission of the IP formatted consumption data over an external power line </w:t>
      </w:r>
      <w:r w:rsidR="00ED356B">
        <w:rPr>
          <w:rFonts w:ascii="Garamond" w:eastAsia="Garamond" w:hAnsi="Garamond"/>
          <w:color w:val="000000"/>
          <w:spacing w:val="-2"/>
          <w:sz w:val="28"/>
        </w:rPr>
        <w:t>network.  APPX0439</w:t>
      </w:r>
      <w:r w:rsidR="00FE6234">
        <w:rPr>
          <w:rFonts w:ascii="Garamond" w:eastAsia="Garamond" w:hAnsi="Garamond"/>
          <w:color w:val="000000"/>
          <w:spacing w:val="-2"/>
          <w:sz w:val="28"/>
        </w:rPr>
        <w:t xml:space="preserve">. </w:t>
      </w:r>
    </w:p>
    <w:p w:rsidR="00C839D4" w:rsidRDefault="00C839D4" w:rsidP="009C223D">
      <w:pPr>
        <w:spacing w:line="662" w:lineRule="exact"/>
        <w:ind w:right="72" w:firstLine="720"/>
        <w:textAlignment w:val="baseline"/>
        <w:rPr>
          <w:rFonts w:ascii="Garamond" w:eastAsia="Garamond" w:hAnsi="Garamond"/>
          <w:color w:val="000000"/>
          <w:spacing w:val="-2"/>
          <w:sz w:val="28"/>
        </w:rPr>
      </w:pPr>
      <w:r>
        <w:rPr>
          <w:rFonts w:ascii="Garamond" w:eastAsia="Garamond" w:hAnsi="Garamond"/>
          <w:color w:val="000000"/>
          <w:spacing w:val="-2"/>
          <w:sz w:val="28"/>
        </w:rPr>
        <w:t xml:space="preserve">For purposes of this appeal, Patent Owner only challenges the Board’s determination that a person of ordinary skill in the relevant art would have found the invention recited in claim 17 obvious over Suh.  Specifically, that the </w:t>
      </w:r>
      <w:r w:rsidR="00917ED0">
        <w:rPr>
          <w:rFonts w:ascii="Garamond" w:eastAsia="Garamond" w:hAnsi="Garamond"/>
          <w:color w:val="000000"/>
          <w:spacing w:val="-2"/>
          <w:sz w:val="28"/>
        </w:rPr>
        <w:t xml:space="preserve">last limitation of claim 17 would have been obvious in view of Suh:  “transmitting </w:t>
      </w:r>
      <w:r w:rsidR="00365152">
        <w:rPr>
          <w:rFonts w:ascii="Garamond" w:eastAsia="Garamond" w:hAnsi="Garamond"/>
          <w:color w:val="000000"/>
          <w:spacing w:val="-2"/>
          <w:sz w:val="28"/>
        </w:rPr>
        <w:t xml:space="preserve">the IP-based power </w:t>
      </w:r>
      <w:r w:rsidR="00365152">
        <w:rPr>
          <w:rFonts w:ascii="Garamond" w:eastAsia="Garamond" w:hAnsi="Garamond"/>
          <w:color w:val="000000"/>
          <w:spacing w:val="-2"/>
          <w:sz w:val="28"/>
        </w:rPr>
        <w:lastRenderedPageBreak/>
        <w:t>consumption information from the processor to a destination autonomously in IP format over an external power line network.”  APPX</w:t>
      </w:r>
      <w:r w:rsidR="00191295">
        <w:rPr>
          <w:rFonts w:ascii="Garamond" w:eastAsia="Garamond" w:hAnsi="Garamond"/>
          <w:color w:val="000000"/>
          <w:spacing w:val="-2"/>
          <w:sz w:val="28"/>
        </w:rPr>
        <w:t>0439 (The ’524 Patent, 10:57-59).</w:t>
      </w:r>
    </w:p>
    <w:p w:rsidR="00084040" w:rsidRDefault="002500E9" w:rsidP="009C223D">
      <w:pPr>
        <w:spacing w:line="662" w:lineRule="exact"/>
        <w:ind w:right="72" w:firstLine="720"/>
        <w:textAlignment w:val="baseline"/>
        <w:rPr>
          <w:rFonts w:ascii="Garamond" w:eastAsia="Garamond" w:hAnsi="Garamond"/>
          <w:color w:val="000000"/>
          <w:spacing w:val="-2"/>
          <w:sz w:val="28"/>
        </w:rPr>
      </w:pPr>
      <w:r>
        <w:rPr>
          <w:rFonts w:ascii="Garamond" w:eastAsia="Garamond" w:hAnsi="Garamond"/>
          <w:color w:val="000000"/>
          <w:spacing w:val="-2"/>
          <w:sz w:val="28"/>
        </w:rPr>
        <w:t>In its Final Written Decisio</w:t>
      </w:r>
      <w:r w:rsidR="003A02A7">
        <w:rPr>
          <w:rFonts w:ascii="Garamond" w:eastAsia="Garamond" w:hAnsi="Garamond"/>
          <w:color w:val="000000"/>
          <w:spacing w:val="-2"/>
          <w:sz w:val="28"/>
        </w:rPr>
        <w:t>n, t</w:t>
      </w:r>
      <w:r>
        <w:rPr>
          <w:rFonts w:ascii="Garamond" w:eastAsia="Garamond" w:hAnsi="Garamond"/>
          <w:color w:val="000000"/>
          <w:spacing w:val="-2"/>
          <w:sz w:val="28"/>
        </w:rPr>
        <w:t xml:space="preserve">he Board </w:t>
      </w:r>
      <w:r w:rsidR="003A02A7">
        <w:rPr>
          <w:rFonts w:ascii="Garamond" w:eastAsia="Garamond" w:hAnsi="Garamond"/>
          <w:color w:val="000000"/>
          <w:spacing w:val="-2"/>
          <w:sz w:val="28"/>
        </w:rPr>
        <w:t xml:space="preserve">went out of its way </w:t>
      </w:r>
      <w:r w:rsidR="00D378B6">
        <w:rPr>
          <w:rFonts w:ascii="Garamond" w:eastAsia="Garamond" w:hAnsi="Garamond"/>
          <w:color w:val="000000"/>
          <w:spacing w:val="-2"/>
          <w:sz w:val="28"/>
        </w:rPr>
        <w:t xml:space="preserve">to </w:t>
      </w:r>
      <w:r w:rsidR="009C7675">
        <w:rPr>
          <w:rFonts w:ascii="Garamond" w:eastAsia="Garamond" w:hAnsi="Garamond"/>
          <w:color w:val="000000"/>
          <w:spacing w:val="-2"/>
          <w:sz w:val="28"/>
        </w:rPr>
        <w:t xml:space="preserve">determine </w:t>
      </w:r>
      <w:r w:rsidR="00442275">
        <w:rPr>
          <w:rFonts w:ascii="Garamond" w:eastAsia="Garamond" w:hAnsi="Garamond"/>
          <w:color w:val="000000"/>
          <w:spacing w:val="-2"/>
          <w:sz w:val="28"/>
        </w:rPr>
        <w:t>that Suh</w:t>
      </w:r>
      <w:r w:rsidR="00264F86">
        <w:rPr>
          <w:rFonts w:ascii="Garamond" w:eastAsia="Garamond" w:hAnsi="Garamond"/>
          <w:color w:val="000000"/>
          <w:spacing w:val="-2"/>
          <w:sz w:val="28"/>
        </w:rPr>
        <w:t xml:space="preserve"> provided the necessary teachings to render the ’524 Patent obvious</w:t>
      </w:r>
      <w:r w:rsidR="002E224E">
        <w:rPr>
          <w:rFonts w:ascii="Garamond" w:eastAsia="Garamond" w:hAnsi="Garamond"/>
          <w:color w:val="000000"/>
          <w:spacing w:val="-2"/>
          <w:sz w:val="28"/>
        </w:rPr>
        <w:t xml:space="preserve">.  Doing so required the Board to completely disregard the file history of the ’524 Patent, the teachings of Suh, and </w:t>
      </w:r>
      <w:r w:rsidR="00464442">
        <w:rPr>
          <w:rFonts w:ascii="Garamond" w:eastAsia="Garamond" w:hAnsi="Garamond"/>
          <w:color w:val="000000"/>
          <w:spacing w:val="-2"/>
          <w:sz w:val="28"/>
        </w:rPr>
        <w:t>contradictions that Petitioner’s ex</w:t>
      </w:r>
      <w:r w:rsidR="002E224E">
        <w:rPr>
          <w:rFonts w:ascii="Garamond" w:eastAsia="Garamond" w:hAnsi="Garamond"/>
          <w:color w:val="000000"/>
          <w:spacing w:val="-2"/>
          <w:sz w:val="28"/>
        </w:rPr>
        <w:t xml:space="preserve">pert, Dr. Akl, </w:t>
      </w:r>
      <w:r w:rsidR="00464442">
        <w:rPr>
          <w:rFonts w:ascii="Garamond" w:eastAsia="Garamond" w:hAnsi="Garamond"/>
          <w:color w:val="000000"/>
          <w:spacing w:val="-2"/>
          <w:sz w:val="28"/>
        </w:rPr>
        <w:t xml:space="preserve">propounded, </w:t>
      </w:r>
      <w:r w:rsidR="002E224E">
        <w:rPr>
          <w:rFonts w:ascii="Garamond" w:eastAsia="Garamond" w:hAnsi="Garamond"/>
          <w:color w:val="000000"/>
          <w:spacing w:val="-2"/>
          <w:sz w:val="28"/>
        </w:rPr>
        <w:t xml:space="preserve">while simultaneously </w:t>
      </w:r>
      <w:r w:rsidR="00464442">
        <w:rPr>
          <w:rFonts w:ascii="Garamond" w:eastAsia="Garamond" w:hAnsi="Garamond"/>
          <w:color w:val="000000"/>
          <w:spacing w:val="-2"/>
          <w:sz w:val="28"/>
        </w:rPr>
        <w:t>choosing to disregard Patent Owner’s arguments</w:t>
      </w:r>
      <w:r w:rsidR="00F712C5">
        <w:rPr>
          <w:rFonts w:ascii="Garamond" w:eastAsia="Garamond" w:hAnsi="Garamond"/>
          <w:color w:val="000000"/>
          <w:spacing w:val="-2"/>
          <w:sz w:val="28"/>
        </w:rPr>
        <w:t xml:space="preserve"> and expert</w:t>
      </w:r>
      <w:r w:rsidR="009C7675">
        <w:rPr>
          <w:rFonts w:ascii="Garamond" w:eastAsia="Garamond" w:hAnsi="Garamond"/>
          <w:color w:val="000000"/>
          <w:spacing w:val="-2"/>
          <w:sz w:val="28"/>
        </w:rPr>
        <w:t xml:space="preserve"> testimony</w:t>
      </w:r>
      <w:r w:rsidR="00464442">
        <w:rPr>
          <w:rFonts w:ascii="Garamond" w:eastAsia="Garamond" w:hAnsi="Garamond"/>
          <w:color w:val="000000"/>
          <w:spacing w:val="-2"/>
          <w:sz w:val="28"/>
        </w:rPr>
        <w:t xml:space="preserve"> as inconvenient truths.</w:t>
      </w:r>
    </w:p>
    <w:p w:rsidR="00464442" w:rsidRDefault="00C07DE7" w:rsidP="009C223D">
      <w:pPr>
        <w:spacing w:line="662" w:lineRule="exact"/>
        <w:ind w:right="72" w:firstLine="720"/>
        <w:textAlignment w:val="baseline"/>
        <w:rPr>
          <w:rFonts w:ascii="Garamond" w:eastAsia="Garamond" w:hAnsi="Garamond"/>
          <w:color w:val="000000"/>
          <w:spacing w:val="-2"/>
          <w:sz w:val="28"/>
        </w:rPr>
      </w:pPr>
      <w:r>
        <w:rPr>
          <w:rFonts w:ascii="Garamond" w:eastAsia="Garamond" w:hAnsi="Garamond"/>
          <w:color w:val="000000"/>
          <w:spacing w:val="-2"/>
          <w:sz w:val="28"/>
        </w:rPr>
        <w:t xml:space="preserve"> </w:t>
      </w:r>
      <w:r w:rsidR="00657602">
        <w:rPr>
          <w:rFonts w:ascii="Garamond" w:eastAsia="Garamond" w:hAnsi="Garamond"/>
          <w:color w:val="000000"/>
          <w:spacing w:val="-2"/>
          <w:sz w:val="28"/>
        </w:rPr>
        <w:t xml:space="preserve">The Board determined that claims 17 </w:t>
      </w:r>
      <w:r w:rsidR="00F76C93">
        <w:rPr>
          <w:rFonts w:ascii="Garamond" w:eastAsia="Garamond" w:hAnsi="Garamond"/>
          <w:color w:val="000000"/>
          <w:spacing w:val="-2"/>
          <w:sz w:val="28"/>
        </w:rPr>
        <w:t>–</w:t>
      </w:r>
      <w:r w:rsidR="00657602">
        <w:rPr>
          <w:rFonts w:ascii="Garamond" w:eastAsia="Garamond" w:hAnsi="Garamond"/>
          <w:color w:val="000000"/>
          <w:spacing w:val="-2"/>
          <w:sz w:val="28"/>
        </w:rPr>
        <w:t xml:space="preserve"> </w:t>
      </w:r>
      <w:r w:rsidR="00F76C93">
        <w:rPr>
          <w:rFonts w:ascii="Garamond" w:eastAsia="Garamond" w:hAnsi="Garamond"/>
          <w:color w:val="000000"/>
          <w:spacing w:val="-2"/>
          <w:sz w:val="28"/>
        </w:rPr>
        <w:t xml:space="preserve">22 of the ’524 Patent would have been obvious to one of ordinary skill in the art at the time of the invention despite Petitioner’s expert’s testimony </w:t>
      </w:r>
      <w:r w:rsidR="00A257B8">
        <w:rPr>
          <w:rFonts w:ascii="Garamond" w:eastAsia="Garamond" w:hAnsi="Garamond"/>
          <w:color w:val="000000"/>
          <w:spacing w:val="-2"/>
          <w:sz w:val="28"/>
        </w:rPr>
        <w:t xml:space="preserve">failing to identify a single teaching </w:t>
      </w:r>
      <w:r w:rsidR="00050807">
        <w:rPr>
          <w:rFonts w:ascii="Garamond" w:eastAsia="Garamond" w:hAnsi="Garamond"/>
          <w:color w:val="000000"/>
          <w:spacing w:val="-2"/>
          <w:sz w:val="28"/>
        </w:rPr>
        <w:t>of a mechanism for sending IP-formatted data over an external power line</w:t>
      </w:r>
      <w:r w:rsidR="00A13B0E">
        <w:rPr>
          <w:rFonts w:ascii="Garamond" w:eastAsia="Garamond" w:hAnsi="Garamond"/>
          <w:color w:val="000000"/>
          <w:spacing w:val="-2"/>
          <w:sz w:val="28"/>
        </w:rPr>
        <w:t xml:space="preserve"> network</w:t>
      </w:r>
      <w:r w:rsidR="00050807">
        <w:rPr>
          <w:rFonts w:ascii="Garamond" w:eastAsia="Garamond" w:hAnsi="Garamond"/>
          <w:color w:val="000000"/>
          <w:spacing w:val="-2"/>
          <w:sz w:val="28"/>
        </w:rPr>
        <w:t xml:space="preserve"> </w:t>
      </w:r>
      <w:r w:rsidR="009C7675">
        <w:rPr>
          <w:rFonts w:ascii="Garamond" w:eastAsia="Garamond" w:hAnsi="Garamond"/>
          <w:color w:val="000000"/>
          <w:spacing w:val="-2"/>
          <w:sz w:val="28"/>
        </w:rPr>
        <w:t xml:space="preserve">other </w:t>
      </w:r>
      <w:r w:rsidR="00050807">
        <w:rPr>
          <w:rFonts w:ascii="Garamond" w:eastAsia="Garamond" w:hAnsi="Garamond"/>
          <w:color w:val="000000"/>
          <w:spacing w:val="-2"/>
          <w:sz w:val="28"/>
        </w:rPr>
        <w:t>than</w:t>
      </w:r>
      <w:r w:rsidR="002E6D63">
        <w:rPr>
          <w:rFonts w:ascii="Garamond" w:eastAsia="Garamond" w:hAnsi="Garamond"/>
          <w:color w:val="000000"/>
          <w:spacing w:val="-2"/>
          <w:sz w:val="28"/>
        </w:rPr>
        <w:t xml:space="preserve"> the ’524 Patent itself.  </w:t>
      </w:r>
      <w:r w:rsidR="009C7675">
        <w:rPr>
          <w:rFonts w:ascii="Garamond" w:eastAsia="Garamond" w:hAnsi="Garamond"/>
          <w:color w:val="000000"/>
          <w:spacing w:val="-2"/>
          <w:sz w:val="28"/>
        </w:rPr>
        <w:t>The Board</w:t>
      </w:r>
      <w:r w:rsidR="00057635">
        <w:rPr>
          <w:rFonts w:ascii="Garamond" w:eastAsia="Garamond" w:hAnsi="Garamond"/>
          <w:color w:val="000000"/>
          <w:spacing w:val="-2"/>
          <w:sz w:val="28"/>
        </w:rPr>
        <w:t xml:space="preserve"> </w:t>
      </w:r>
      <w:r w:rsidR="000A0797">
        <w:rPr>
          <w:rFonts w:ascii="Garamond" w:eastAsia="Garamond" w:hAnsi="Garamond"/>
          <w:color w:val="000000"/>
          <w:spacing w:val="-2"/>
          <w:sz w:val="28"/>
        </w:rPr>
        <w:t>erred by ignoring th</w:t>
      </w:r>
      <w:r w:rsidR="00DC06CF">
        <w:rPr>
          <w:rFonts w:ascii="Garamond" w:eastAsia="Garamond" w:hAnsi="Garamond"/>
          <w:color w:val="000000"/>
          <w:spacing w:val="-2"/>
          <w:sz w:val="28"/>
        </w:rPr>
        <w:t xml:space="preserve">is admission, choosing instead to </w:t>
      </w:r>
      <w:r w:rsidR="00057635">
        <w:rPr>
          <w:rFonts w:ascii="Garamond" w:eastAsia="Garamond" w:hAnsi="Garamond"/>
          <w:color w:val="000000"/>
          <w:spacing w:val="-2"/>
          <w:sz w:val="28"/>
        </w:rPr>
        <w:t xml:space="preserve">simply </w:t>
      </w:r>
      <w:r w:rsidR="009F6AC6">
        <w:rPr>
          <w:rFonts w:ascii="Garamond" w:eastAsia="Garamond" w:hAnsi="Garamond"/>
          <w:color w:val="000000"/>
          <w:spacing w:val="-2"/>
          <w:sz w:val="28"/>
        </w:rPr>
        <w:t xml:space="preserve">discredit the Patent Owner’s arguments by </w:t>
      </w:r>
      <w:r w:rsidR="00A23A5F">
        <w:rPr>
          <w:rFonts w:ascii="Garamond" w:eastAsia="Garamond" w:hAnsi="Garamond"/>
          <w:color w:val="000000"/>
          <w:spacing w:val="-2"/>
          <w:sz w:val="28"/>
        </w:rPr>
        <w:t>citing law that is both inapposite and inapplicable to the this single-reference case.  APPX0031-0032 (“The test for obviousness is</w:t>
      </w:r>
      <w:r w:rsidR="00594353">
        <w:rPr>
          <w:rFonts w:ascii="Garamond" w:eastAsia="Garamond" w:hAnsi="Garamond"/>
          <w:color w:val="000000"/>
          <w:spacing w:val="-2"/>
          <w:sz w:val="28"/>
        </w:rPr>
        <w:t xml:space="preserve"> </w:t>
      </w:r>
      <w:r w:rsidR="00A23A5F">
        <w:rPr>
          <w:rFonts w:ascii="Garamond" w:eastAsia="Garamond" w:hAnsi="Garamond"/>
          <w:color w:val="000000"/>
          <w:spacing w:val="-2"/>
          <w:sz w:val="28"/>
        </w:rPr>
        <w:t>not whether the features of a secondary reference may be bodily incorporated into the structure of the primary reference.”</w:t>
      </w:r>
      <w:r w:rsidR="00594353">
        <w:rPr>
          <w:rFonts w:ascii="Garamond" w:eastAsia="Garamond" w:hAnsi="Garamond"/>
          <w:color w:val="000000"/>
          <w:spacing w:val="-2"/>
          <w:sz w:val="28"/>
        </w:rPr>
        <w:t>)</w:t>
      </w:r>
      <w:r w:rsidR="002F6F52">
        <w:rPr>
          <w:rFonts w:ascii="Garamond" w:eastAsia="Garamond" w:hAnsi="Garamond"/>
          <w:color w:val="000000"/>
          <w:spacing w:val="-2"/>
          <w:sz w:val="28"/>
        </w:rPr>
        <w:t xml:space="preserve"> (</w:t>
      </w:r>
      <w:r w:rsidR="002D1ACE">
        <w:rPr>
          <w:rFonts w:ascii="Garamond" w:eastAsia="Garamond" w:hAnsi="Garamond"/>
          <w:color w:val="000000"/>
          <w:spacing w:val="-2"/>
          <w:sz w:val="28"/>
        </w:rPr>
        <w:t>quoting “</w:t>
      </w:r>
      <w:r w:rsidR="002D1ACE" w:rsidRPr="009C7675">
        <w:rPr>
          <w:rFonts w:ascii="Garamond" w:eastAsia="Garamond" w:hAnsi="Garamond"/>
          <w:i/>
          <w:color w:val="000000"/>
          <w:spacing w:val="-2"/>
          <w:sz w:val="28"/>
        </w:rPr>
        <w:t>Allied Erecting &amp; Dismantling Co. v. Genesis Attachments, LLC</w:t>
      </w:r>
      <w:r w:rsidR="00F3351D">
        <w:rPr>
          <w:rFonts w:ascii="Garamond" w:eastAsia="Garamond" w:hAnsi="Garamond"/>
          <w:color w:val="000000"/>
          <w:spacing w:val="-2"/>
          <w:sz w:val="28"/>
        </w:rPr>
        <w:t>, 825 F.3d 1373, 1381 (Fed. Cir. 2016)</w:t>
      </w:r>
      <w:r w:rsidR="002F6F52">
        <w:rPr>
          <w:rFonts w:ascii="Garamond" w:eastAsia="Garamond" w:hAnsi="Garamond"/>
          <w:color w:val="000000"/>
          <w:spacing w:val="-2"/>
          <w:sz w:val="28"/>
        </w:rPr>
        <w:t xml:space="preserve">).  In the present case, there is no “secondary reference.”  </w:t>
      </w:r>
    </w:p>
    <w:p w:rsidR="003E33D4" w:rsidRPr="00F76C93" w:rsidRDefault="003E33D4" w:rsidP="00D378B6">
      <w:pPr>
        <w:spacing w:line="662" w:lineRule="exact"/>
        <w:ind w:right="72" w:firstLine="720"/>
        <w:textAlignment w:val="baseline"/>
        <w:rPr>
          <w:rFonts w:ascii="Garamond" w:eastAsia="Garamond" w:hAnsi="Garamond"/>
          <w:color w:val="000000"/>
          <w:spacing w:val="-2"/>
          <w:sz w:val="28"/>
        </w:rPr>
      </w:pPr>
      <w:r>
        <w:rPr>
          <w:rFonts w:ascii="Garamond" w:eastAsia="Garamond" w:hAnsi="Garamond"/>
          <w:color w:val="000000"/>
          <w:spacing w:val="-2"/>
          <w:sz w:val="28"/>
        </w:rPr>
        <w:t xml:space="preserve">The board also erred by </w:t>
      </w:r>
      <w:r w:rsidR="00B01D58">
        <w:rPr>
          <w:rFonts w:ascii="Garamond" w:eastAsia="Garamond" w:hAnsi="Garamond"/>
          <w:color w:val="000000"/>
          <w:spacing w:val="-2"/>
          <w:sz w:val="28"/>
        </w:rPr>
        <w:t>ignoring Dr. Akl’s testimony</w:t>
      </w:r>
      <w:r w:rsidR="00796208">
        <w:rPr>
          <w:rFonts w:ascii="Garamond" w:eastAsia="Garamond" w:hAnsi="Garamond"/>
          <w:color w:val="000000"/>
          <w:spacing w:val="-2"/>
          <w:sz w:val="28"/>
        </w:rPr>
        <w:t xml:space="preserve"> that </w:t>
      </w:r>
      <w:r w:rsidR="00EE0ADA">
        <w:rPr>
          <w:rFonts w:ascii="Garamond" w:eastAsia="Garamond" w:hAnsi="Garamond"/>
          <w:color w:val="000000"/>
          <w:spacing w:val="-2"/>
          <w:sz w:val="28"/>
        </w:rPr>
        <w:t>directly contradicted Petitioner’s arguments, and</w:t>
      </w:r>
      <w:r w:rsidR="008F6919">
        <w:rPr>
          <w:rFonts w:ascii="Garamond" w:eastAsia="Garamond" w:hAnsi="Garamond"/>
          <w:color w:val="000000"/>
          <w:spacing w:val="-2"/>
          <w:sz w:val="28"/>
        </w:rPr>
        <w:t xml:space="preserve"> by </w:t>
      </w:r>
      <w:r w:rsidR="006C749C">
        <w:rPr>
          <w:rFonts w:ascii="Garamond" w:eastAsia="Garamond" w:hAnsi="Garamond"/>
          <w:color w:val="000000"/>
          <w:spacing w:val="-2"/>
          <w:sz w:val="28"/>
        </w:rPr>
        <w:t xml:space="preserve">combining admitted </w:t>
      </w:r>
      <w:r w:rsidR="00EE0ADA">
        <w:rPr>
          <w:rFonts w:ascii="Garamond" w:eastAsia="Garamond" w:hAnsi="Garamond"/>
          <w:color w:val="000000"/>
          <w:spacing w:val="-2"/>
          <w:sz w:val="28"/>
        </w:rPr>
        <w:t xml:space="preserve">prior art references </w:t>
      </w:r>
      <w:r w:rsidR="006C749C">
        <w:rPr>
          <w:rFonts w:ascii="Garamond" w:eastAsia="Garamond" w:hAnsi="Garamond"/>
          <w:color w:val="000000"/>
          <w:spacing w:val="-2"/>
          <w:sz w:val="28"/>
        </w:rPr>
        <w:t xml:space="preserve">that teach away </w:t>
      </w:r>
      <w:r w:rsidR="006C749C">
        <w:rPr>
          <w:rFonts w:ascii="Garamond" w:eastAsia="Garamond" w:hAnsi="Garamond"/>
          <w:color w:val="000000"/>
          <w:spacing w:val="-2"/>
          <w:sz w:val="28"/>
        </w:rPr>
        <w:lastRenderedPageBreak/>
        <w:t xml:space="preserve">from </w:t>
      </w:r>
      <w:r w:rsidR="00A7522E">
        <w:rPr>
          <w:rFonts w:ascii="Garamond" w:eastAsia="Garamond" w:hAnsi="Garamond"/>
          <w:color w:val="000000"/>
          <w:spacing w:val="-2"/>
          <w:sz w:val="28"/>
        </w:rPr>
        <w:t xml:space="preserve">transmitting data on an </w:t>
      </w:r>
      <w:r w:rsidR="00A7522E">
        <w:rPr>
          <w:rFonts w:ascii="Garamond" w:eastAsia="Garamond" w:hAnsi="Garamond"/>
          <w:i/>
          <w:color w:val="000000"/>
          <w:spacing w:val="-2"/>
          <w:sz w:val="28"/>
        </w:rPr>
        <w:t xml:space="preserve">external </w:t>
      </w:r>
      <w:r w:rsidR="00A7522E">
        <w:rPr>
          <w:rFonts w:ascii="Garamond" w:eastAsia="Garamond" w:hAnsi="Garamond"/>
          <w:color w:val="000000"/>
          <w:spacing w:val="-2"/>
          <w:sz w:val="28"/>
        </w:rPr>
        <w:t>power line</w:t>
      </w:r>
      <w:r w:rsidR="00D378B6">
        <w:rPr>
          <w:rFonts w:ascii="Garamond" w:eastAsia="Garamond" w:hAnsi="Garamond"/>
          <w:color w:val="000000"/>
          <w:spacing w:val="-2"/>
          <w:sz w:val="28"/>
        </w:rPr>
        <w:t xml:space="preserve"> </w:t>
      </w:r>
      <w:r w:rsidR="00D378B6">
        <w:rPr>
          <w:rFonts w:ascii="Garamond" w:eastAsia="Garamond" w:hAnsi="Garamond"/>
          <w:i/>
          <w:color w:val="000000"/>
          <w:spacing w:val="-2"/>
          <w:sz w:val="28"/>
        </w:rPr>
        <w:t>network</w:t>
      </w:r>
      <w:r w:rsidR="00A7522E">
        <w:rPr>
          <w:rFonts w:ascii="Garamond" w:eastAsia="Garamond" w:hAnsi="Garamond"/>
          <w:color w:val="000000"/>
          <w:spacing w:val="-2"/>
          <w:sz w:val="28"/>
        </w:rPr>
        <w:t xml:space="preserve"> with Suh to arrive at its desired conclusion.  </w:t>
      </w:r>
      <w:r w:rsidR="00591909">
        <w:rPr>
          <w:rFonts w:ascii="Garamond" w:eastAsia="Garamond" w:hAnsi="Garamond"/>
          <w:color w:val="000000"/>
          <w:spacing w:val="-2"/>
          <w:sz w:val="28"/>
        </w:rPr>
        <w:t xml:space="preserve">When faced with a substantially identical argument from the patent examiner, </w:t>
      </w:r>
      <w:r w:rsidR="00860A15">
        <w:rPr>
          <w:rFonts w:ascii="Garamond" w:eastAsia="Garamond" w:hAnsi="Garamond"/>
          <w:color w:val="000000"/>
          <w:spacing w:val="-2"/>
          <w:sz w:val="28"/>
        </w:rPr>
        <w:t>the Patent Owner amended what is now claim 17 to add “autonomously</w:t>
      </w:r>
      <w:r w:rsidR="00D1275D">
        <w:rPr>
          <w:rFonts w:ascii="Garamond" w:eastAsia="Garamond" w:hAnsi="Garamond"/>
          <w:color w:val="000000"/>
          <w:spacing w:val="-2"/>
          <w:sz w:val="28"/>
        </w:rPr>
        <w:t xml:space="preserve"> in IP format over an external power line network.”  </w:t>
      </w:r>
      <w:r w:rsidR="005F2248">
        <w:rPr>
          <w:rFonts w:ascii="Garamond" w:eastAsia="Garamond" w:hAnsi="Garamond"/>
          <w:color w:val="000000"/>
          <w:spacing w:val="-2"/>
          <w:sz w:val="28"/>
        </w:rPr>
        <w:t>APPX0658-0659.</w:t>
      </w:r>
      <w:r w:rsidR="0071452C">
        <w:rPr>
          <w:rFonts w:ascii="Garamond" w:eastAsia="Garamond" w:hAnsi="Garamond"/>
          <w:color w:val="000000"/>
          <w:spacing w:val="-2"/>
          <w:sz w:val="28"/>
        </w:rPr>
        <w:t xml:space="preserve">  Delsing</w:t>
      </w:r>
      <w:r w:rsidR="00FF38C6">
        <w:rPr>
          <w:rFonts w:ascii="Garamond" w:eastAsia="Garamond" w:hAnsi="Garamond"/>
          <w:color w:val="000000"/>
          <w:spacing w:val="-2"/>
          <w:sz w:val="28"/>
        </w:rPr>
        <w:t xml:space="preserve"> (Exhibit 1014)</w:t>
      </w:r>
      <w:r w:rsidR="00BA7C42">
        <w:rPr>
          <w:rFonts w:ascii="Garamond" w:eastAsia="Garamond" w:hAnsi="Garamond"/>
          <w:color w:val="000000"/>
          <w:spacing w:val="-2"/>
          <w:sz w:val="28"/>
        </w:rPr>
        <w:t>, one of the references cited by the examiner against claim 17</w:t>
      </w:r>
      <w:r w:rsidR="00FF38C6">
        <w:rPr>
          <w:rFonts w:ascii="Garamond" w:eastAsia="Garamond" w:hAnsi="Garamond"/>
          <w:color w:val="000000"/>
          <w:spacing w:val="-2"/>
          <w:sz w:val="28"/>
        </w:rPr>
        <w:t>,</w:t>
      </w:r>
      <w:r w:rsidR="0071452C">
        <w:rPr>
          <w:rFonts w:ascii="Garamond" w:eastAsia="Garamond" w:hAnsi="Garamond"/>
          <w:color w:val="000000"/>
          <w:spacing w:val="-2"/>
          <w:sz w:val="28"/>
        </w:rPr>
        <w:t xml:space="preserve"> </w:t>
      </w:r>
      <w:r w:rsidR="00BA7C42">
        <w:rPr>
          <w:rFonts w:ascii="Garamond" w:eastAsia="Garamond" w:hAnsi="Garamond"/>
          <w:color w:val="000000"/>
          <w:spacing w:val="-2"/>
          <w:sz w:val="28"/>
        </w:rPr>
        <w:t xml:space="preserve">explicitly discloses the use of </w:t>
      </w:r>
      <w:r w:rsidR="00FF38C6">
        <w:rPr>
          <w:rFonts w:ascii="Garamond" w:eastAsia="Garamond" w:hAnsi="Garamond"/>
          <w:color w:val="000000"/>
          <w:spacing w:val="-2"/>
          <w:sz w:val="28"/>
        </w:rPr>
        <w:t>a “power line modem.” APPX</w:t>
      </w:r>
      <w:r w:rsidR="009803C2">
        <w:rPr>
          <w:rFonts w:ascii="Garamond" w:eastAsia="Garamond" w:hAnsi="Garamond"/>
          <w:color w:val="000000"/>
          <w:spacing w:val="-2"/>
          <w:sz w:val="28"/>
        </w:rPr>
        <w:t>1131 (Fig. 1)</w:t>
      </w:r>
      <w:r w:rsidR="00AE0F23">
        <w:rPr>
          <w:rFonts w:ascii="Garamond" w:eastAsia="Garamond" w:hAnsi="Garamond"/>
          <w:color w:val="000000"/>
          <w:spacing w:val="-2"/>
          <w:sz w:val="28"/>
        </w:rPr>
        <w:t xml:space="preserve">.  However, consistent with the </w:t>
      </w:r>
      <w:r w:rsidR="009C7675">
        <w:rPr>
          <w:rFonts w:ascii="Garamond" w:eastAsia="Garamond" w:hAnsi="Garamond"/>
          <w:color w:val="000000"/>
          <w:spacing w:val="-2"/>
          <w:sz w:val="28"/>
        </w:rPr>
        <w:t xml:space="preserve">improperly </w:t>
      </w:r>
      <w:r w:rsidR="00AE0F23">
        <w:rPr>
          <w:rFonts w:ascii="Garamond" w:eastAsia="Garamond" w:hAnsi="Garamond"/>
          <w:color w:val="000000"/>
          <w:spacing w:val="-2"/>
          <w:sz w:val="28"/>
        </w:rPr>
        <w:t xml:space="preserve">disregarded testimony of Mr. Blackburn, the mere existence of a power line modem on the </w:t>
      </w:r>
      <w:r w:rsidR="00AE0F23">
        <w:rPr>
          <w:rFonts w:ascii="Garamond" w:eastAsia="Garamond" w:hAnsi="Garamond"/>
          <w:i/>
          <w:color w:val="000000"/>
          <w:spacing w:val="-2"/>
          <w:sz w:val="28"/>
        </w:rPr>
        <w:t>internal</w:t>
      </w:r>
      <w:r w:rsidR="00AE0F23">
        <w:rPr>
          <w:rFonts w:ascii="Garamond" w:eastAsia="Garamond" w:hAnsi="Garamond"/>
          <w:color w:val="000000"/>
          <w:spacing w:val="-2"/>
          <w:sz w:val="28"/>
        </w:rPr>
        <w:t xml:space="preserve"> side of a dwelling does not teach transmission of IP formatted data over an </w:t>
      </w:r>
      <w:r w:rsidR="00AE0F23">
        <w:rPr>
          <w:rFonts w:ascii="Garamond" w:eastAsia="Garamond" w:hAnsi="Garamond"/>
          <w:i/>
          <w:color w:val="000000"/>
          <w:spacing w:val="-2"/>
          <w:sz w:val="28"/>
        </w:rPr>
        <w:t xml:space="preserve">external </w:t>
      </w:r>
      <w:r w:rsidR="00AE0F23">
        <w:rPr>
          <w:rFonts w:ascii="Garamond" w:eastAsia="Garamond" w:hAnsi="Garamond"/>
          <w:color w:val="000000"/>
          <w:spacing w:val="-2"/>
          <w:sz w:val="28"/>
        </w:rPr>
        <w:t>power line</w:t>
      </w:r>
      <w:r w:rsidR="009C7675">
        <w:rPr>
          <w:rFonts w:ascii="Garamond" w:eastAsia="Garamond" w:hAnsi="Garamond"/>
          <w:color w:val="000000"/>
          <w:spacing w:val="-2"/>
          <w:sz w:val="28"/>
        </w:rPr>
        <w:t xml:space="preserve"> </w:t>
      </w:r>
      <w:r w:rsidR="009C7675">
        <w:rPr>
          <w:rFonts w:ascii="Garamond" w:eastAsia="Garamond" w:hAnsi="Garamond"/>
          <w:i/>
          <w:color w:val="000000"/>
          <w:spacing w:val="-2"/>
          <w:sz w:val="28"/>
        </w:rPr>
        <w:t>network</w:t>
      </w:r>
      <w:r w:rsidR="00B06AA2">
        <w:rPr>
          <w:rFonts w:ascii="Garamond" w:eastAsia="Garamond" w:hAnsi="Garamond"/>
          <w:color w:val="000000"/>
          <w:spacing w:val="-2"/>
          <w:sz w:val="28"/>
        </w:rPr>
        <w:t>, and the examiner allowed claim 17.  APPX</w:t>
      </w:r>
      <w:r w:rsidR="00351245">
        <w:rPr>
          <w:rFonts w:ascii="Garamond" w:eastAsia="Garamond" w:hAnsi="Garamond"/>
          <w:color w:val="000000"/>
          <w:spacing w:val="-2"/>
          <w:sz w:val="28"/>
        </w:rPr>
        <w:t>0671.</w:t>
      </w:r>
      <w:r w:rsidR="00031F68">
        <w:rPr>
          <w:rFonts w:ascii="Garamond" w:eastAsia="Garamond" w:hAnsi="Garamond"/>
          <w:color w:val="000000"/>
          <w:spacing w:val="-2"/>
          <w:sz w:val="28"/>
        </w:rPr>
        <w:t xml:space="preserve">  </w:t>
      </w:r>
      <w:r w:rsidR="0065002F">
        <w:rPr>
          <w:rFonts w:ascii="Garamond" w:eastAsia="Garamond" w:hAnsi="Garamond"/>
          <w:color w:val="000000"/>
          <w:spacing w:val="-2"/>
          <w:sz w:val="28"/>
        </w:rPr>
        <w:t>Petitioner’s expert, Dr. Akl, confirms this portion of the prosecution history.  APPX</w:t>
      </w:r>
      <w:r w:rsidR="00F65FBE">
        <w:rPr>
          <w:rFonts w:ascii="Garamond" w:eastAsia="Garamond" w:hAnsi="Garamond"/>
          <w:color w:val="000000"/>
          <w:spacing w:val="-2"/>
          <w:sz w:val="28"/>
        </w:rPr>
        <w:t>0738-0739 (</w:t>
      </w:r>
      <w:r w:rsidR="00E17215">
        <w:rPr>
          <w:rFonts w:ascii="Garamond" w:eastAsia="Garamond" w:hAnsi="Garamond"/>
          <w:color w:val="000000"/>
          <w:spacing w:val="-2"/>
          <w:sz w:val="28"/>
        </w:rPr>
        <w:t>¶¶</w:t>
      </w:r>
      <w:r w:rsidR="00EC4BA3">
        <w:rPr>
          <w:rFonts w:ascii="Garamond" w:eastAsia="Garamond" w:hAnsi="Garamond"/>
          <w:color w:val="000000"/>
          <w:spacing w:val="-2"/>
          <w:sz w:val="28"/>
        </w:rPr>
        <w:t>58 – 61).</w:t>
      </w:r>
      <w:r w:rsidR="003552A7">
        <w:rPr>
          <w:rFonts w:ascii="Garamond" w:eastAsia="Garamond" w:hAnsi="Garamond"/>
          <w:color w:val="000000"/>
          <w:spacing w:val="-2"/>
          <w:sz w:val="28"/>
        </w:rPr>
        <w:t xml:space="preserve">  Significantly, Dr. Akl cited the portion of the patentee’s ultimately prevailing argument that “the internal interface taught by Roos may include the internal power line but does not teach communicating by external power line….”  </w:t>
      </w:r>
      <w:r w:rsidR="003552A7">
        <w:rPr>
          <w:rFonts w:ascii="Garamond" w:eastAsia="Garamond" w:hAnsi="Garamond"/>
          <w:i/>
          <w:color w:val="000000"/>
          <w:spacing w:val="-2"/>
          <w:sz w:val="28"/>
        </w:rPr>
        <w:t>Id.</w:t>
      </w:r>
      <w:r w:rsidR="003552A7">
        <w:rPr>
          <w:rFonts w:ascii="Garamond" w:eastAsia="Garamond" w:hAnsi="Garamond"/>
          <w:color w:val="000000"/>
          <w:spacing w:val="-2"/>
          <w:sz w:val="28"/>
        </w:rPr>
        <w:t xml:space="preserve"> (¶</w:t>
      </w:r>
      <w:r w:rsidR="00662090">
        <w:rPr>
          <w:rFonts w:ascii="Garamond" w:eastAsia="Garamond" w:hAnsi="Garamond"/>
          <w:color w:val="000000"/>
          <w:spacing w:val="-2"/>
          <w:sz w:val="28"/>
        </w:rPr>
        <w:t>59).  Suh likewise does not teach the use of an external power line for communication.</w:t>
      </w:r>
    </w:p>
    <w:p w:rsidR="000C6EEF" w:rsidRDefault="002267DA">
      <w:pPr>
        <w:spacing w:before="3" w:line="672" w:lineRule="exact"/>
        <w:ind w:left="72" w:firstLine="720"/>
        <w:textAlignment w:val="baseline"/>
        <w:rPr>
          <w:rFonts w:ascii="Garamond" w:eastAsia="Garamond" w:hAnsi="Garamond"/>
          <w:color w:val="000000"/>
          <w:sz w:val="28"/>
        </w:rPr>
      </w:pPr>
      <w:r>
        <w:rPr>
          <w:rFonts w:ascii="Garamond" w:eastAsia="Garamond" w:hAnsi="Garamond"/>
          <w:color w:val="000000"/>
          <w:sz w:val="28"/>
        </w:rPr>
        <w:t xml:space="preserve">It is hornbook law that a fact finder must make three inquiries when assessing the nonobviousness of a patent claim: (1) a determination of the scope and content of the prior art; (2) an assessment of the differences between the claimed invention and the prior art; and (3) a resolution of the level of ordinary skill in the art. </w:t>
      </w:r>
      <w:r>
        <w:rPr>
          <w:rFonts w:ascii="Garamond" w:eastAsia="Garamond" w:hAnsi="Garamond"/>
          <w:i/>
          <w:color w:val="000000"/>
          <w:sz w:val="30"/>
        </w:rPr>
        <w:t>Graham v. John Deere Co. of Kansas City</w:t>
      </w:r>
      <w:r>
        <w:rPr>
          <w:rFonts w:ascii="Garamond" w:eastAsia="Garamond" w:hAnsi="Garamond"/>
          <w:color w:val="000000"/>
          <w:sz w:val="28"/>
        </w:rPr>
        <w:t xml:space="preserve">, 383 U.S. 1, 17-18 (1966). Through consideration of these issues, the fact finder then decides whether a person of ordinary skill would have </w:t>
      </w:r>
      <w:r>
        <w:rPr>
          <w:rFonts w:ascii="Garamond" w:eastAsia="Garamond" w:hAnsi="Garamond"/>
          <w:color w:val="000000"/>
          <w:sz w:val="28"/>
        </w:rPr>
        <w:lastRenderedPageBreak/>
        <w:t xml:space="preserve">arrived at the claimed invention. </w:t>
      </w:r>
      <w:r>
        <w:rPr>
          <w:rFonts w:ascii="Garamond" w:eastAsia="Garamond" w:hAnsi="Garamond"/>
          <w:i/>
          <w:color w:val="000000"/>
          <w:sz w:val="30"/>
        </w:rPr>
        <w:t>Id</w:t>
      </w:r>
      <w:r>
        <w:rPr>
          <w:rFonts w:ascii="Garamond" w:eastAsia="Garamond" w:hAnsi="Garamond"/>
          <w:color w:val="000000"/>
          <w:sz w:val="28"/>
        </w:rPr>
        <w:t xml:space="preserve">. This analysis fails, however, where, as in the instant case, the </w:t>
      </w:r>
      <w:r w:rsidR="00D366D3">
        <w:rPr>
          <w:rFonts w:ascii="Garamond" w:eastAsia="Garamond" w:hAnsi="Garamond"/>
          <w:color w:val="000000"/>
          <w:sz w:val="28"/>
        </w:rPr>
        <w:t xml:space="preserve">Board </w:t>
      </w:r>
      <w:r w:rsidR="008F2E23">
        <w:rPr>
          <w:rFonts w:ascii="Garamond" w:eastAsia="Garamond" w:hAnsi="Garamond"/>
          <w:color w:val="000000"/>
          <w:sz w:val="28"/>
        </w:rPr>
        <w:t>credits uncorroborated rhetoric by an expert to arrive at the claimed invention</w:t>
      </w:r>
      <w:r>
        <w:rPr>
          <w:rFonts w:ascii="Garamond" w:eastAsia="Garamond" w:hAnsi="Garamond"/>
          <w:color w:val="000000"/>
          <w:sz w:val="28"/>
        </w:rPr>
        <w:t xml:space="preserve">. </w:t>
      </w:r>
      <w:r w:rsidR="004B7569">
        <w:rPr>
          <w:rFonts w:ascii="Garamond" w:eastAsia="Garamond" w:hAnsi="Garamond"/>
          <w:color w:val="000000"/>
          <w:sz w:val="28"/>
        </w:rPr>
        <w:t>By ignoring the plain teachings of the prior art and the testimony before it,</w:t>
      </w:r>
      <w:r>
        <w:rPr>
          <w:rFonts w:ascii="Garamond" w:eastAsia="Garamond" w:hAnsi="Garamond"/>
          <w:color w:val="000000"/>
          <w:sz w:val="28"/>
        </w:rPr>
        <w:t xml:space="preserve"> the </w:t>
      </w:r>
      <w:r w:rsidR="00A54233">
        <w:rPr>
          <w:rFonts w:ascii="Garamond" w:eastAsia="Garamond" w:hAnsi="Garamond"/>
          <w:color w:val="000000"/>
          <w:sz w:val="28"/>
        </w:rPr>
        <w:t xml:space="preserve">Board arrived at its predetermined </w:t>
      </w:r>
      <w:r>
        <w:rPr>
          <w:rFonts w:ascii="Garamond" w:eastAsia="Garamond" w:hAnsi="Garamond"/>
          <w:color w:val="000000"/>
          <w:sz w:val="28"/>
        </w:rPr>
        <w:t>outcome of the obviousness inquiry in a legally impermissible way.</w:t>
      </w:r>
    </w:p>
    <w:p w:rsidR="000C6EEF" w:rsidRDefault="002A7EC7" w:rsidP="00E21F9C">
      <w:pPr>
        <w:spacing w:before="602" w:line="480" w:lineRule="auto"/>
        <w:ind w:right="216" w:firstLine="720"/>
        <w:textAlignment w:val="baseline"/>
        <w:rPr>
          <w:rFonts w:ascii="Garamond" w:eastAsia="Garamond" w:hAnsi="Garamond"/>
          <w:color w:val="000000"/>
          <w:sz w:val="28"/>
        </w:rPr>
      </w:pPr>
      <w:r>
        <w:rPr>
          <w:rFonts w:ascii="Garamond" w:eastAsia="Garamond" w:hAnsi="Garamond"/>
          <w:color w:val="000000"/>
          <w:sz w:val="28"/>
        </w:rPr>
        <w:t>W</w:t>
      </w:r>
      <w:r w:rsidR="00485932">
        <w:rPr>
          <w:rFonts w:ascii="Garamond" w:eastAsia="Garamond" w:hAnsi="Garamond"/>
          <w:color w:val="000000"/>
          <w:sz w:val="28"/>
        </w:rPr>
        <w:t xml:space="preserve">ith respect to the </w:t>
      </w:r>
      <w:r w:rsidR="00432190">
        <w:rPr>
          <w:rFonts w:ascii="Garamond" w:eastAsia="Garamond" w:hAnsi="Garamond"/>
          <w:color w:val="000000"/>
          <w:sz w:val="28"/>
        </w:rPr>
        <w:t>first</w:t>
      </w:r>
      <w:r w:rsidR="00642560">
        <w:rPr>
          <w:rFonts w:ascii="Garamond" w:eastAsia="Garamond" w:hAnsi="Garamond"/>
          <w:color w:val="000000"/>
          <w:sz w:val="28"/>
        </w:rPr>
        <w:t xml:space="preserve"> </w:t>
      </w:r>
      <w:r w:rsidR="00485932">
        <w:rPr>
          <w:rFonts w:ascii="Garamond" w:eastAsia="Garamond" w:hAnsi="Garamond"/>
          <w:color w:val="000000"/>
          <w:sz w:val="28"/>
        </w:rPr>
        <w:t xml:space="preserve">inquiry, </w:t>
      </w:r>
      <w:r w:rsidR="00642560">
        <w:rPr>
          <w:rFonts w:ascii="Garamond" w:eastAsia="Garamond" w:hAnsi="Garamond"/>
          <w:color w:val="000000"/>
          <w:sz w:val="28"/>
        </w:rPr>
        <w:t xml:space="preserve">the scope and content of the prior art applied by the Board begins and ends with Suh.  This is important, because </w:t>
      </w:r>
      <w:r w:rsidR="00C42D99">
        <w:rPr>
          <w:rFonts w:ascii="Garamond" w:eastAsia="Garamond" w:hAnsi="Garamond"/>
          <w:color w:val="000000"/>
          <w:sz w:val="28"/>
        </w:rPr>
        <w:t>both the X.10 and HomePlug references were admitted as prior art in the specification,</w:t>
      </w:r>
      <w:r w:rsidR="009A58E4">
        <w:rPr>
          <w:rFonts w:ascii="Garamond" w:eastAsia="Garamond" w:hAnsi="Garamond"/>
          <w:color w:val="000000"/>
          <w:sz w:val="28"/>
        </w:rPr>
        <w:t xml:space="preserve"> yet</w:t>
      </w:r>
      <w:r w:rsidR="00BA296F">
        <w:rPr>
          <w:rFonts w:ascii="Garamond" w:eastAsia="Garamond" w:hAnsi="Garamond"/>
          <w:color w:val="000000"/>
          <w:sz w:val="28"/>
        </w:rPr>
        <w:t xml:space="preserve"> the Board erroneously used them to supply </w:t>
      </w:r>
      <w:r w:rsidR="009A58E4">
        <w:rPr>
          <w:rFonts w:ascii="Garamond" w:eastAsia="Garamond" w:hAnsi="Garamond"/>
          <w:color w:val="000000"/>
          <w:sz w:val="28"/>
        </w:rPr>
        <w:t xml:space="preserve">the teachings that Suh failed to disclose.  </w:t>
      </w:r>
      <w:r w:rsidR="009C7675">
        <w:rPr>
          <w:rFonts w:ascii="Garamond" w:eastAsia="Garamond" w:hAnsi="Garamond"/>
          <w:color w:val="000000"/>
          <w:sz w:val="28"/>
        </w:rPr>
        <w:t xml:space="preserve">“It is impermissible within the framework of section 103 to pick and choose from any one reference only so much it as will support a given position to the exclusion of other parts necessary to the full appreciation of what such reference fairly suggests to one skilled in the art.”  </w:t>
      </w:r>
      <w:r w:rsidR="009C7675">
        <w:rPr>
          <w:rFonts w:ascii="Garamond" w:eastAsia="Garamond" w:hAnsi="Garamond"/>
          <w:i/>
          <w:color w:val="000000"/>
          <w:sz w:val="28"/>
        </w:rPr>
        <w:t>Bausch &amp; Lomb, Inc. v. Barnes-Hind/Hydrocurve, In.</w:t>
      </w:r>
      <w:r w:rsidR="009C7675">
        <w:rPr>
          <w:rFonts w:ascii="Garamond" w:eastAsia="Garamond" w:hAnsi="Garamond"/>
          <w:color w:val="000000"/>
          <w:sz w:val="28"/>
        </w:rPr>
        <w:t xml:space="preserve">, 796 F.2d 443, 448 (Fed. Cir. 1986); </w:t>
      </w:r>
      <w:r w:rsidR="009C7675">
        <w:rPr>
          <w:rFonts w:ascii="Garamond" w:eastAsia="Garamond" w:hAnsi="Garamond"/>
          <w:i/>
          <w:color w:val="000000"/>
          <w:sz w:val="28"/>
        </w:rPr>
        <w:t xml:space="preserve">Charles v. </w:t>
      </w:r>
      <w:r w:rsidR="009C7675" w:rsidRPr="009C7675">
        <w:rPr>
          <w:rFonts w:ascii="Garamond" w:eastAsia="Garamond" w:hAnsi="Garamond"/>
          <w:color w:val="000000"/>
          <w:sz w:val="28"/>
        </w:rPr>
        <w:t>Hedges</w:t>
      </w:r>
      <w:r w:rsidR="009C7675">
        <w:rPr>
          <w:rFonts w:ascii="Garamond" w:eastAsia="Garamond" w:hAnsi="Garamond"/>
          <w:color w:val="000000"/>
          <w:sz w:val="28"/>
        </w:rPr>
        <w:t xml:space="preserve">, 783 F.2d 1038, 1041 (Fed. Cir. 1986).  </w:t>
      </w:r>
      <w:r w:rsidR="00432190" w:rsidRPr="009C7675">
        <w:rPr>
          <w:rFonts w:ascii="Garamond" w:eastAsia="Garamond" w:hAnsi="Garamond"/>
          <w:color w:val="000000"/>
          <w:sz w:val="28"/>
        </w:rPr>
        <w:t>With</w:t>
      </w:r>
      <w:r w:rsidR="00432190">
        <w:rPr>
          <w:rFonts w:ascii="Garamond" w:eastAsia="Garamond" w:hAnsi="Garamond"/>
          <w:color w:val="000000"/>
          <w:sz w:val="28"/>
        </w:rPr>
        <w:t xml:space="preserve"> respect to the </w:t>
      </w:r>
      <w:r w:rsidR="00485932">
        <w:rPr>
          <w:rFonts w:ascii="Garamond" w:eastAsia="Garamond" w:hAnsi="Garamond"/>
          <w:color w:val="000000"/>
          <w:sz w:val="28"/>
        </w:rPr>
        <w:t>th</w:t>
      </w:r>
      <w:r w:rsidR="00432190">
        <w:rPr>
          <w:rFonts w:ascii="Garamond" w:eastAsia="Garamond" w:hAnsi="Garamond"/>
          <w:color w:val="000000"/>
          <w:sz w:val="28"/>
        </w:rPr>
        <w:t xml:space="preserve">ird inquiry, the </w:t>
      </w:r>
      <w:r w:rsidR="00485932">
        <w:rPr>
          <w:rFonts w:ascii="Garamond" w:eastAsia="Garamond" w:hAnsi="Garamond"/>
          <w:color w:val="000000"/>
          <w:sz w:val="28"/>
        </w:rPr>
        <w:t>parties generally agree on the level</w:t>
      </w:r>
      <w:r w:rsidR="007C7E2F">
        <w:rPr>
          <w:rFonts w:ascii="Garamond" w:eastAsia="Garamond" w:hAnsi="Garamond"/>
          <w:color w:val="000000"/>
          <w:sz w:val="28"/>
        </w:rPr>
        <w:t xml:space="preserve"> of ordinary skill, which is not at issue in this case.  </w:t>
      </w:r>
      <w:r w:rsidR="008F56AA">
        <w:rPr>
          <w:rFonts w:ascii="Garamond" w:eastAsia="Garamond" w:hAnsi="Garamond"/>
          <w:color w:val="000000"/>
          <w:sz w:val="28"/>
        </w:rPr>
        <w:t xml:space="preserve"> </w:t>
      </w:r>
      <w:r w:rsidR="00432190">
        <w:rPr>
          <w:rFonts w:ascii="Garamond" w:eastAsia="Garamond" w:hAnsi="Garamond"/>
          <w:color w:val="000000"/>
          <w:sz w:val="28"/>
        </w:rPr>
        <w:t xml:space="preserve">The primary issue is, therefore, the application of the </w:t>
      </w:r>
      <w:r>
        <w:rPr>
          <w:rFonts w:ascii="Garamond" w:eastAsia="Garamond" w:hAnsi="Garamond"/>
          <w:color w:val="000000"/>
          <w:sz w:val="28"/>
        </w:rPr>
        <w:t xml:space="preserve">single </w:t>
      </w:r>
      <w:r w:rsidR="00432190">
        <w:rPr>
          <w:rFonts w:ascii="Garamond" w:eastAsia="Garamond" w:hAnsi="Garamond"/>
          <w:color w:val="000000"/>
          <w:sz w:val="28"/>
        </w:rPr>
        <w:t>prior art</w:t>
      </w:r>
      <w:r>
        <w:rPr>
          <w:rFonts w:ascii="Garamond" w:eastAsia="Garamond" w:hAnsi="Garamond"/>
          <w:color w:val="000000"/>
          <w:sz w:val="28"/>
        </w:rPr>
        <w:t xml:space="preserve"> reference</w:t>
      </w:r>
      <w:r w:rsidR="00432190">
        <w:rPr>
          <w:rFonts w:ascii="Garamond" w:eastAsia="Garamond" w:hAnsi="Garamond"/>
          <w:color w:val="000000"/>
          <w:sz w:val="28"/>
        </w:rPr>
        <w:t xml:space="preserve"> to claims 17-22 of the ’524 Patent.  </w:t>
      </w:r>
      <w:r w:rsidR="007971AF">
        <w:rPr>
          <w:rFonts w:ascii="Garamond" w:eastAsia="Garamond" w:hAnsi="Garamond"/>
          <w:color w:val="000000"/>
          <w:sz w:val="28"/>
        </w:rPr>
        <w:t>In this case, the</w:t>
      </w:r>
      <w:r w:rsidR="00D04686">
        <w:rPr>
          <w:rFonts w:ascii="Garamond" w:eastAsia="Garamond" w:hAnsi="Garamond"/>
          <w:color w:val="000000"/>
          <w:sz w:val="28"/>
        </w:rPr>
        <w:t xml:space="preserve"> Board</w:t>
      </w:r>
      <w:r w:rsidR="007971AF">
        <w:rPr>
          <w:rFonts w:ascii="Garamond" w:eastAsia="Garamond" w:hAnsi="Garamond"/>
          <w:color w:val="000000"/>
          <w:sz w:val="28"/>
        </w:rPr>
        <w:t xml:space="preserve"> relied exclusively on Dr. Akl’s </w:t>
      </w:r>
      <w:r w:rsidR="00D04686">
        <w:rPr>
          <w:rFonts w:ascii="Garamond" w:eastAsia="Garamond" w:hAnsi="Garamond"/>
          <w:color w:val="000000"/>
          <w:sz w:val="28"/>
        </w:rPr>
        <w:t xml:space="preserve">uncorroborated </w:t>
      </w:r>
      <w:r w:rsidR="007971AF">
        <w:rPr>
          <w:rFonts w:ascii="Garamond" w:eastAsia="Garamond" w:hAnsi="Garamond"/>
          <w:color w:val="000000"/>
          <w:sz w:val="28"/>
        </w:rPr>
        <w:t xml:space="preserve">testimony to supply </w:t>
      </w:r>
      <w:r w:rsidR="005D74D4">
        <w:rPr>
          <w:rFonts w:ascii="Garamond" w:eastAsia="Garamond" w:hAnsi="Garamond"/>
          <w:color w:val="000000"/>
          <w:sz w:val="28"/>
        </w:rPr>
        <w:t>the elements of claims 17-22 that are missing in Suh</w:t>
      </w:r>
      <w:r w:rsidR="00D04686">
        <w:rPr>
          <w:rFonts w:ascii="Garamond" w:eastAsia="Garamond" w:hAnsi="Garamond"/>
          <w:color w:val="000000"/>
          <w:sz w:val="28"/>
        </w:rPr>
        <w:t>.</w:t>
      </w:r>
    </w:p>
    <w:p w:rsidR="000C6EEF" w:rsidRPr="00E21F9C" w:rsidRDefault="00D97400" w:rsidP="00E21F9C">
      <w:pPr>
        <w:spacing w:after="240" w:line="480" w:lineRule="auto"/>
        <w:ind w:left="792"/>
        <w:textAlignment w:val="baseline"/>
        <w:rPr>
          <w:rFonts w:ascii="Garamond" w:eastAsia="Tahoma" w:hAnsi="Garamond"/>
          <w:b/>
          <w:color w:val="000000"/>
          <w:spacing w:val="5"/>
          <w:sz w:val="28"/>
          <w:szCs w:val="28"/>
        </w:rPr>
      </w:pPr>
      <w:r w:rsidRPr="00E21F9C">
        <w:rPr>
          <w:rFonts w:ascii="Garamond" w:eastAsia="Tahoma" w:hAnsi="Garamond"/>
          <w:b/>
          <w:color w:val="000000"/>
          <w:spacing w:val="5"/>
          <w:sz w:val="28"/>
          <w:szCs w:val="28"/>
        </w:rPr>
        <w:t>A.</w:t>
      </w:r>
      <w:r w:rsidR="002267DA" w:rsidRPr="00E21F9C">
        <w:rPr>
          <w:rFonts w:ascii="Garamond" w:eastAsia="Tahoma" w:hAnsi="Garamond"/>
          <w:b/>
          <w:color w:val="000000"/>
          <w:spacing w:val="5"/>
          <w:sz w:val="28"/>
          <w:szCs w:val="28"/>
        </w:rPr>
        <w:t xml:space="preserve"> The </w:t>
      </w:r>
      <w:r w:rsidR="00A1789B" w:rsidRPr="00E21F9C">
        <w:rPr>
          <w:rFonts w:ascii="Garamond" w:eastAsia="Tahoma" w:hAnsi="Garamond"/>
          <w:b/>
          <w:color w:val="000000"/>
          <w:spacing w:val="5"/>
          <w:sz w:val="28"/>
          <w:szCs w:val="28"/>
        </w:rPr>
        <w:t>’524</w:t>
      </w:r>
      <w:r w:rsidR="002267DA" w:rsidRPr="00E21F9C">
        <w:rPr>
          <w:rFonts w:ascii="Garamond" w:eastAsia="Tahoma" w:hAnsi="Garamond"/>
          <w:b/>
          <w:color w:val="000000"/>
          <w:spacing w:val="5"/>
          <w:sz w:val="28"/>
          <w:szCs w:val="28"/>
        </w:rPr>
        <w:t xml:space="preserve"> Patent</w:t>
      </w:r>
    </w:p>
    <w:p w:rsidR="00A1789B" w:rsidRPr="00E21F9C" w:rsidRDefault="00A1789B" w:rsidP="00A1789B">
      <w:pPr>
        <w:pStyle w:val="ListParagraph"/>
        <w:autoSpaceDE w:val="0"/>
        <w:autoSpaceDN w:val="0"/>
        <w:adjustRightInd w:val="0"/>
        <w:spacing w:after="0" w:line="480" w:lineRule="auto"/>
        <w:ind w:left="0" w:firstLine="720"/>
        <w:jc w:val="both"/>
        <w:rPr>
          <w:rFonts w:ascii="Garamond" w:hAnsi="Garamond" w:cs="Times New Roman"/>
          <w:sz w:val="28"/>
          <w:szCs w:val="28"/>
        </w:rPr>
      </w:pPr>
      <w:r w:rsidRPr="00E21F9C">
        <w:rPr>
          <w:rFonts w:ascii="Garamond" w:hAnsi="Garamond" w:cs="Times New Roman"/>
          <w:sz w:val="28"/>
          <w:szCs w:val="28"/>
        </w:rPr>
        <w:lastRenderedPageBreak/>
        <w:t xml:space="preserve">The relevant disclosures of the ’524 patent include various embodiments of a “smart” meter that, </w:t>
      </w:r>
      <w:r w:rsidRPr="00E21F9C">
        <w:rPr>
          <w:rFonts w:ascii="Garamond" w:hAnsi="Garamond" w:cs="Times New Roman"/>
          <w:i/>
          <w:sz w:val="28"/>
          <w:szCs w:val="28"/>
        </w:rPr>
        <w:t>inter alia</w:t>
      </w:r>
      <w:r w:rsidRPr="00E21F9C">
        <w:rPr>
          <w:rFonts w:ascii="Garamond" w:hAnsi="Garamond" w:cs="Times New Roman"/>
          <w:sz w:val="28"/>
          <w:szCs w:val="28"/>
        </w:rPr>
        <w:t xml:space="preserve">, collects electrical power usage data, sends usage data to a utility provider, and provides for the generation of electricity bills for customers.  </w:t>
      </w:r>
      <w:r w:rsidR="0029128A" w:rsidRPr="00E21F9C">
        <w:rPr>
          <w:rFonts w:ascii="Garamond" w:hAnsi="Garamond" w:cs="Times New Roman"/>
          <w:sz w:val="28"/>
          <w:szCs w:val="28"/>
        </w:rPr>
        <w:t>APPX</w:t>
      </w:r>
      <w:r w:rsidR="00FA0564" w:rsidRPr="00E21F9C">
        <w:rPr>
          <w:rFonts w:ascii="Garamond" w:hAnsi="Garamond" w:cs="Times New Roman"/>
          <w:sz w:val="28"/>
          <w:szCs w:val="28"/>
        </w:rPr>
        <w:t>0425 (Abstract).</w:t>
      </w:r>
      <w:r w:rsidR="00486907" w:rsidRPr="00E21F9C">
        <w:rPr>
          <w:rFonts w:ascii="Garamond" w:hAnsi="Garamond" w:cs="Times New Roman"/>
          <w:sz w:val="28"/>
          <w:szCs w:val="28"/>
        </w:rPr>
        <w:t xml:space="preserve">  The </w:t>
      </w:r>
      <w:r w:rsidRPr="00E21F9C">
        <w:rPr>
          <w:rFonts w:ascii="Garamond" w:hAnsi="Garamond" w:cs="Times New Roman"/>
          <w:sz w:val="28"/>
          <w:szCs w:val="28"/>
        </w:rPr>
        <w:t>’524 Patent also discloses connection to various household appliances for collection of metering and consumption data.</w:t>
      </w:r>
      <w:r w:rsidR="00BC1EDE" w:rsidRPr="00E21F9C">
        <w:rPr>
          <w:rFonts w:ascii="Garamond" w:hAnsi="Garamond" w:cs="Times New Roman"/>
          <w:sz w:val="28"/>
          <w:szCs w:val="28"/>
        </w:rPr>
        <w:t xml:space="preserve">  APPX</w:t>
      </w:r>
      <w:r w:rsidR="008161F9" w:rsidRPr="00E21F9C">
        <w:rPr>
          <w:rFonts w:ascii="Garamond" w:hAnsi="Garamond" w:cs="Times New Roman"/>
          <w:sz w:val="28"/>
          <w:szCs w:val="28"/>
        </w:rPr>
        <w:t>0435 (The ’524 Patent, 1:55 – 2:2)</w:t>
      </w:r>
      <w:r w:rsidRPr="00E21F9C">
        <w:rPr>
          <w:rFonts w:ascii="Garamond" w:hAnsi="Garamond" w:cs="Times New Roman"/>
          <w:sz w:val="28"/>
          <w:szCs w:val="28"/>
        </w:rPr>
        <w:t xml:space="preserve">  More specifically, the ’524 Patent at Figure 1, discloses a power metering system that is disposed between a powerline connection to a grid and the breaker box of a customer:</w:t>
      </w:r>
    </w:p>
    <w:p w:rsidR="00A1789B" w:rsidRDefault="00A1789B" w:rsidP="00A1789B">
      <w:pPr>
        <w:pStyle w:val="ListParagraph"/>
        <w:autoSpaceDE w:val="0"/>
        <w:autoSpaceDN w:val="0"/>
        <w:adjustRightInd w:val="0"/>
        <w:spacing w:after="0" w:line="480" w:lineRule="auto"/>
        <w:ind w:left="0" w:firstLine="720"/>
        <w:rPr>
          <w:rFonts w:ascii="Times New Roman" w:hAnsi="Times New Roman" w:cs="Times New Roman"/>
          <w:sz w:val="28"/>
          <w:szCs w:val="28"/>
        </w:rPr>
      </w:pPr>
      <w:r>
        <w:rPr>
          <w:noProof/>
        </w:rPr>
        <w:drawing>
          <wp:inline distT="0" distB="0" distL="0" distR="0" wp14:anchorId="258CB110" wp14:editId="217176ED">
            <wp:extent cx="4933950" cy="5088580"/>
            <wp:effectExtent l="0" t="0" r="0" b="0"/>
            <wp:docPr id="24" name="Picture 24" descr="C:\Users\DAC\AppData\Local\Temp\SNAGHTML82ca4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C\AppData\Local\Temp\SNAGHTML82ca4c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3122" cy="5118666"/>
                    </a:xfrm>
                    <a:prstGeom prst="rect">
                      <a:avLst/>
                    </a:prstGeom>
                    <a:noFill/>
                    <a:ln>
                      <a:noFill/>
                    </a:ln>
                  </pic:spPr>
                </pic:pic>
              </a:graphicData>
            </a:graphic>
          </wp:inline>
        </w:drawing>
      </w:r>
    </w:p>
    <w:p w:rsidR="006238E7" w:rsidRPr="00E21F9C" w:rsidRDefault="006238E7" w:rsidP="006238E7">
      <w:pPr>
        <w:spacing w:before="128" w:line="480" w:lineRule="auto"/>
        <w:jc w:val="both"/>
        <w:textAlignment w:val="baseline"/>
        <w:rPr>
          <w:rFonts w:ascii="Garamond" w:hAnsi="Garamond"/>
          <w:sz w:val="28"/>
          <w:szCs w:val="28"/>
        </w:rPr>
      </w:pPr>
      <w:r w:rsidRPr="00E21F9C">
        <w:rPr>
          <w:rFonts w:ascii="Garamond" w:hAnsi="Garamond"/>
          <w:sz w:val="28"/>
          <w:szCs w:val="28"/>
        </w:rPr>
        <w:t>APPX0427.</w:t>
      </w:r>
    </w:p>
    <w:p w:rsidR="00A1789B" w:rsidRPr="00E21F9C" w:rsidRDefault="00A1789B" w:rsidP="00A1789B">
      <w:pPr>
        <w:spacing w:before="128" w:line="480" w:lineRule="auto"/>
        <w:ind w:firstLine="720"/>
        <w:jc w:val="both"/>
        <w:textAlignment w:val="baseline"/>
        <w:rPr>
          <w:rFonts w:ascii="Garamond" w:hAnsi="Garamond"/>
          <w:sz w:val="28"/>
          <w:szCs w:val="28"/>
        </w:rPr>
      </w:pPr>
      <w:r w:rsidRPr="00E21F9C">
        <w:rPr>
          <w:rFonts w:ascii="Garamond" w:hAnsi="Garamond"/>
          <w:sz w:val="28"/>
          <w:szCs w:val="28"/>
        </w:rPr>
        <w:lastRenderedPageBreak/>
        <w:t xml:space="preserve">The ’524 Patent’s disclosure of then-known power line transmission protocols, X-10 and HomePlug, were only known at the time for use on an </w:t>
      </w:r>
      <w:r w:rsidRPr="00E21F9C">
        <w:rPr>
          <w:rFonts w:ascii="Garamond" w:hAnsi="Garamond"/>
          <w:i/>
          <w:sz w:val="28"/>
          <w:szCs w:val="28"/>
        </w:rPr>
        <w:t xml:space="preserve">internal </w:t>
      </w:r>
      <w:r w:rsidRPr="00E21F9C">
        <w:rPr>
          <w:rFonts w:ascii="Garamond" w:hAnsi="Garamond"/>
          <w:sz w:val="28"/>
          <w:szCs w:val="28"/>
        </w:rPr>
        <w:t xml:space="preserve">power line network.  </w:t>
      </w:r>
      <w:r w:rsidR="00CF5448" w:rsidRPr="00E21F9C">
        <w:rPr>
          <w:rFonts w:ascii="Garamond" w:hAnsi="Garamond"/>
          <w:b/>
          <w:sz w:val="28"/>
          <w:szCs w:val="28"/>
        </w:rPr>
        <w:t xml:space="preserve"> </w:t>
      </w:r>
      <w:r w:rsidRPr="00E21F9C">
        <w:rPr>
          <w:rFonts w:ascii="Garamond" w:hAnsi="Garamond"/>
          <w:sz w:val="28"/>
          <w:szCs w:val="28"/>
        </w:rPr>
        <w:t xml:space="preserve">  The ’524 Patent additionally discloses </w:t>
      </w:r>
      <w:r w:rsidRPr="00E21F9C">
        <w:rPr>
          <w:rFonts w:ascii="Garamond" w:hAnsi="Garamond"/>
          <w:i/>
          <w:sz w:val="28"/>
          <w:szCs w:val="28"/>
        </w:rPr>
        <w:t xml:space="preserve">how </w:t>
      </w:r>
      <w:r w:rsidRPr="00E21F9C">
        <w:rPr>
          <w:rFonts w:ascii="Garamond" w:hAnsi="Garamond"/>
          <w:sz w:val="28"/>
          <w:szCs w:val="28"/>
        </w:rPr>
        <w:t>the consumption data can be encapsulated from X.10-  and HomePlug-based messages and sent in IP format using a filter to ensure that the IP transmissions can travel on the pre-meter / external power line. Specifically, the ’524 patent discloses a system whereby the power meter module 364, Homeplug module 352, X-10 module 362, and IEEE 802.11 module 354 are connected to firewalls 356 and 360, which are intern are connected to TCP/IP module 358:</w:t>
      </w:r>
    </w:p>
    <w:p w:rsidR="00A1789B" w:rsidRDefault="00A1789B" w:rsidP="00A1789B">
      <w:pPr>
        <w:spacing w:before="128" w:line="480" w:lineRule="auto"/>
        <w:ind w:firstLine="720"/>
        <w:jc w:val="both"/>
        <w:textAlignment w:val="baseline"/>
        <w:rPr>
          <w:sz w:val="28"/>
          <w:szCs w:val="28"/>
        </w:rPr>
      </w:pPr>
      <w:r w:rsidRPr="000F4BEF">
        <w:rPr>
          <w:noProof/>
          <w:sz w:val="28"/>
          <w:szCs w:val="28"/>
        </w:rPr>
        <w:drawing>
          <wp:inline distT="0" distB="0" distL="0" distR="0" wp14:anchorId="18EC19D9" wp14:editId="34A852B4">
            <wp:extent cx="4937068" cy="3412490"/>
            <wp:effectExtent l="0" t="0" r="0" b="0"/>
            <wp:docPr id="25" name="Picture 25" descr="C:\Users\DAC\AppData\Local\Temp\SNAGHTMLa1bfa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C\AppData\Local\Temp\SNAGHTMLa1bfad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8582" cy="3420449"/>
                    </a:xfrm>
                    <a:prstGeom prst="rect">
                      <a:avLst/>
                    </a:prstGeom>
                    <a:noFill/>
                    <a:ln>
                      <a:noFill/>
                    </a:ln>
                  </pic:spPr>
                </pic:pic>
              </a:graphicData>
            </a:graphic>
          </wp:inline>
        </w:drawing>
      </w:r>
    </w:p>
    <w:p w:rsidR="00A1789B" w:rsidRPr="000F4BEF" w:rsidRDefault="00437CA4" w:rsidP="00D378B6">
      <w:pPr>
        <w:spacing w:before="128" w:line="480" w:lineRule="auto"/>
        <w:jc w:val="both"/>
        <w:textAlignment w:val="baseline"/>
        <w:rPr>
          <w:sz w:val="28"/>
          <w:szCs w:val="28"/>
        </w:rPr>
      </w:pPr>
      <w:r w:rsidRPr="00E21F9C">
        <w:rPr>
          <w:rFonts w:ascii="Garamond" w:hAnsi="Garamond"/>
          <w:sz w:val="28"/>
          <w:szCs w:val="28"/>
        </w:rPr>
        <w:t>APPX0431, APPX</w:t>
      </w:r>
      <w:r w:rsidR="00A04ECB" w:rsidRPr="00E21F9C">
        <w:rPr>
          <w:rFonts w:ascii="Garamond" w:hAnsi="Garamond"/>
          <w:sz w:val="28"/>
          <w:szCs w:val="28"/>
        </w:rPr>
        <w:t xml:space="preserve">438 (The </w:t>
      </w:r>
      <w:r w:rsidR="00A1789B" w:rsidRPr="00E21F9C">
        <w:rPr>
          <w:rFonts w:ascii="Garamond" w:hAnsi="Garamond"/>
          <w:sz w:val="28"/>
          <w:szCs w:val="28"/>
        </w:rPr>
        <w:t>’524 Patent, Fig. 5, 8:15-49</w:t>
      </w:r>
      <w:r w:rsidR="00A04ECB" w:rsidRPr="00E21F9C">
        <w:rPr>
          <w:rFonts w:ascii="Garamond" w:hAnsi="Garamond"/>
          <w:sz w:val="28"/>
          <w:szCs w:val="28"/>
        </w:rPr>
        <w:t>)</w:t>
      </w:r>
      <w:r w:rsidR="00A1789B" w:rsidRPr="00E21F9C">
        <w:rPr>
          <w:rFonts w:ascii="Garamond" w:hAnsi="Garamond"/>
          <w:sz w:val="28"/>
          <w:szCs w:val="28"/>
        </w:rPr>
        <w:t xml:space="preserve">.  According to the disclosure, the configuration of the modules, firewalls, and TCP/IP module allows </w:t>
      </w:r>
      <w:r w:rsidR="00A1789B" w:rsidRPr="00E21F9C">
        <w:rPr>
          <w:rFonts w:ascii="Garamond" w:hAnsi="Garamond"/>
          <w:i/>
          <w:sz w:val="28"/>
          <w:szCs w:val="28"/>
        </w:rPr>
        <w:t>conversion</w:t>
      </w:r>
      <w:r w:rsidR="00A1789B" w:rsidRPr="00E21F9C">
        <w:rPr>
          <w:rFonts w:ascii="Garamond" w:hAnsi="Garamond"/>
          <w:sz w:val="28"/>
          <w:szCs w:val="28"/>
        </w:rPr>
        <w:t xml:space="preserve"> </w:t>
      </w:r>
      <w:r w:rsidR="00A1789B" w:rsidRPr="00E21F9C">
        <w:rPr>
          <w:rFonts w:ascii="Garamond" w:hAnsi="Garamond"/>
          <w:i/>
          <w:sz w:val="28"/>
          <w:szCs w:val="28"/>
        </w:rPr>
        <w:t xml:space="preserve">of </w:t>
      </w:r>
      <w:r w:rsidR="00A1789B" w:rsidRPr="00E21F9C">
        <w:rPr>
          <w:rFonts w:ascii="Garamond" w:hAnsi="Garamond"/>
          <w:sz w:val="28"/>
          <w:szCs w:val="28"/>
        </w:rPr>
        <w:t xml:space="preserve">the HomePlug, X-10, power consumption, and 802.11 data </w:t>
      </w:r>
      <w:r w:rsidR="00A1789B" w:rsidRPr="00E21F9C">
        <w:rPr>
          <w:rFonts w:ascii="Garamond" w:hAnsi="Garamond"/>
          <w:i/>
          <w:sz w:val="28"/>
          <w:szCs w:val="28"/>
        </w:rPr>
        <w:t>into</w:t>
      </w:r>
      <w:r w:rsidR="00A1789B" w:rsidRPr="00E21F9C">
        <w:rPr>
          <w:rFonts w:ascii="Garamond" w:hAnsi="Garamond"/>
          <w:sz w:val="28"/>
          <w:szCs w:val="28"/>
        </w:rPr>
        <w:t xml:space="preserve"> IP-based communications.  </w:t>
      </w:r>
      <w:r w:rsidR="007A2D97" w:rsidRPr="00E21F9C">
        <w:rPr>
          <w:rFonts w:ascii="Garamond" w:hAnsi="Garamond"/>
          <w:sz w:val="28"/>
          <w:szCs w:val="28"/>
        </w:rPr>
        <w:t>APPX</w:t>
      </w:r>
      <w:r w:rsidR="008266CB" w:rsidRPr="00E21F9C">
        <w:rPr>
          <w:rFonts w:ascii="Garamond" w:hAnsi="Garamond"/>
          <w:sz w:val="28"/>
          <w:szCs w:val="28"/>
        </w:rPr>
        <w:t xml:space="preserve">0432-0434, APPX0438-0439 (The </w:t>
      </w:r>
      <w:r w:rsidR="00A1789B" w:rsidRPr="00E21F9C">
        <w:rPr>
          <w:rFonts w:ascii="Garamond" w:hAnsi="Garamond"/>
          <w:sz w:val="28"/>
          <w:szCs w:val="28"/>
        </w:rPr>
        <w:t>’524 Patent, FIGS. 6 – 8, 8:49 – 9:33</w:t>
      </w:r>
      <w:r w:rsidR="008266CB">
        <w:rPr>
          <w:sz w:val="28"/>
          <w:szCs w:val="28"/>
        </w:rPr>
        <w:t>)</w:t>
      </w:r>
      <w:r w:rsidR="00A1789B">
        <w:rPr>
          <w:sz w:val="28"/>
          <w:szCs w:val="28"/>
        </w:rPr>
        <w:t xml:space="preserve">. </w:t>
      </w:r>
    </w:p>
    <w:p w:rsidR="000C6EEF" w:rsidRPr="00E21F9C" w:rsidRDefault="008266CB" w:rsidP="00D378B6">
      <w:pPr>
        <w:spacing w:before="5" w:line="480" w:lineRule="auto"/>
        <w:ind w:left="792"/>
        <w:textAlignment w:val="baseline"/>
        <w:rPr>
          <w:rFonts w:ascii="Garamond" w:eastAsia="Tahoma" w:hAnsi="Garamond"/>
          <w:b/>
          <w:color w:val="000000"/>
          <w:spacing w:val="7"/>
          <w:sz w:val="28"/>
          <w:szCs w:val="28"/>
        </w:rPr>
      </w:pPr>
      <w:r w:rsidRPr="00E21F9C">
        <w:rPr>
          <w:rFonts w:ascii="Garamond" w:eastAsia="Tahoma" w:hAnsi="Garamond"/>
          <w:b/>
          <w:color w:val="000000"/>
          <w:spacing w:val="7"/>
          <w:sz w:val="28"/>
          <w:szCs w:val="28"/>
        </w:rPr>
        <w:t>B</w:t>
      </w:r>
      <w:r w:rsidR="002267DA" w:rsidRPr="00E21F9C">
        <w:rPr>
          <w:rFonts w:ascii="Garamond" w:eastAsia="Tahoma" w:hAnsi="Garamond"/>
          <w:b/>
          <w:color w:val="000000"/>
          <w:spacing w:val="7"/>
          <w:sz w:val="28"/>
          <w:szCs w:val="28"/>
        </w:rPr>
        <w:t xml:space="preserve">. The </w:t>
      </w:r>
      <w:r w:rsidR="00094CDC" w:rsidRPr="00E21F9C">
        <w:rPr>
          <w:rFonts w:ascii="Garamond" w:eastAsia="Tahoma" w:hAnsi="Garamond"/>
          <w:b/>
          <w:color w:val="000000"/>
          <w:spacing w:val="7"/>
          <w:sz w:val="28"/>
          <w:szCs w:val="28"/>
        </w:rPr>
        <w:t xml:space="preserve">Sole </w:t>
      </w:r>
      <w:r w:rsidR="002267DA" w:rsidRPr="00E21F9C">
        <w:rPr>
          <w:rFonts w:ascii="Garamond" w:eastAsia="Tahoma" w:hAnsi="Garamond"/>
          <w:b/>
          <w:color w:val="000000"/>
          <w:spacing w:val="7"/>
          <w:sz w:val="28"/>
          <w:szCs w:val="28"/>
        </w:rPr>
        <w:t>Cited Reference</w:t>
      </w:r>
      <w:r w:rsidR="00094CDC" w:rsidRPr="00E21F9C">
        <w:rPr>
          <w:rFonts w:ascii="Garamond" w:eastAsia="Tahoma" w:hAnsi="Garamond"/>
          <w:b/>
          <w:color w:val="000000"/>
          <w:spacing w:val="7"/>
          <w:sz w:val="28"/>
          <w:szCs w:val="28"/>
        </w:rPr>
        <w:t xml:space="preserve"> - Suh</w:t>
      </w:r>
    </w:p>
    <w:p w:rsidR="000C6EEF" w:rsidRDefault="00DA4952" w:rsidP="00D378B6">
      <w:pPr>
        <w:spacing w:line="480" w:lineRule="auto"/>
        <w:ind w:left="72" w:right="72" w:firstLine="720"/>
        <w:textAlignment w:val="baseline"/>
        <w:rPr>
          <w:rFonts w:ascii="Garamond" w:eastAsia="Garamond" w:hAnsi="Garamond"/>
          <w:color w:val="000000"/>
          <w:sz w:val="28"/>
        </w:rPr>
      </w:pPr>
      <w:r>
        <w:rPr>
          <w:rFonts w:ascii="Garamond" w:eastAsia="Garamond" w:hAnsi="Garamond"/>
          <w:color w:val="000000"/>
          <w:sz w:val="28"/>
        </w:rPr>
        <w:lastRenderedPageBreak/>
        <w:t xml:space="preserve">The only instituted ground for invalidity was </w:t>
      </w:r>
      <w:r w:rsidR="000351B9">
        <w:rPr>
          <w:rFonts w:ascii="Garamond" w:eastAsia="Garamond" w:hAnsi="Garamond"/>
          <w:color w:val="000000"/>
          <w:sz w:val="28"/>
        </w:rPr>
        <w:t>obviousness over Suh.  APPX</w:t>
      </w:r>
      <w:r w:rsidR="00D42AD5">
        <w:rPr>
          <w:rFonts w:ascii="Garamond" w:eastAsia="Garamond" w:hAnsi="Garamond"/>
          <w:color w:val="000000"/>
          <w:sz w:val="28"/>
        </w:rPr>
        <w:t>0196</w:t>
      </w:r>
      <w:r w:rsidR="002267DA">
        <w:rPr>
          <w:rFonts w:ascii="Garamond" w:eastAsia="Garamond" w:hAnsi="Garamond"/>
          <w:color w:val="000000"/>
          <w:sz w:val="28"/>
        </w:rPr>
        <w:t>.</w:t>
      </w:r>
    </w:p>
    <w:p w:rsidR="000C6EEF" w:rsidRDefault="002267DA" w:rsidP="00D378B6">
      <w:pPr>
        <w:spacing w:line="480" w:lineRule="auto"/>
        <w:ind w:left="792"/>
        <w:textAlignment w:val="baseline"/>
        <w:rPr>
          <w:rFonts w:ascii="Garamond" w:eastAsia="Garamond" w:hAnsi="Garamond"/>
          <w:i/>
          <w:color w:val="000000"/>
          <w:spacing w:val="3"/>
          <w:sz w:val="30"/>
        </w:rPr>
      </w:pPr>
      <w:r>
        <w:rPr>
          <w:rFonts w:ascii="Garamond" w:eastAsia="Garamond" w:hAnsi="Garamond"/>
          <w:i/>
          <w:color w:val="000000"/>
          <w:spacing w:val="3"/>
          <w:sz w:val="30"/>
        </w:rPr>
        <w:t xml:space="preserve">i. </w:t>
      </w:r>
      <w:r w:rsidR="00DA4952">
        <w:rPr>
          <w:rFonts w:ascii="Garamond" w:eastAsia="Garamond" w:hAnsi="Garamond"/>
          <w:i/>
          <w:color w:val="000000"/>
          <w:spacing w:val="3"/>
          <w:sz w:val="30"/>
        </w:rPr>
        <w:t>Suh</w:t>
      </w:r>
    </w:p>
    <w:p w:rsidR="00CF3127" w:rsidRDefault="000F2853" w:rsidP="00D378B6">
      <w:pPr>
        <w:spacing w:line="480" w:lineRule="auto"/>
        <w:ind w:left="72" w:right="72" w:firstLine="720"/>
        <w:textAlignment w:val="baseline"/>
        <w:rPr>
          <w:rFonts w:ascii="Garamond" w:eastAsia="Garamond" w:hAnsi="Garamond"/>
          <w:color w:val="000000"/>
          <w:spacing w:val="2"/>
          <w:sz w:val="28"/>
        </w:rPr>
      </w:pPr>
      <w:r>
        <w:rPr>
          <w:rFonts w:ascii="Garamond" w:eastAsia="Garamond" w:hAnsi="Garamond"/>
          <w:color w:val="000000"/>
          <w:spacing w:val="2"/>
          <w:sz w:val="28"/>
        </w:rPr>
        <w:t>The Board summarizes Suh as describing “[a]n [I]nternet ready electronic power meter with automatic reporting capabilities, the electronic power meter recording electrical power usage and other utility usage, and periodically tran</w:t>
      </w:r>
      <w:r w:rsidR="00BA5796">
        <w:rPr>
          <w:rFonts w:ascii="Garamond" w:eastAsia="Garamond" w:hAnsi="Garamond"/>
          <w:color w:val="000000"/>
          <w:spacing w:val="2"/>
          <w:sz w:val="28"/>
        </w:rPr>
        <w:t>smitting utility usage reports to a remote site using [I]nternet and conventional protocols of the public or private computer network.”  APPX0012</w:t>
      </w:r>
      <w:r w:rsidR="00B2448E">
        <w:rPr>
          <w:rFonts w:ascii="Garamond" w:eastAsia="Garamond" w:hAnsi="Garamond"/>
          <w:color w:val="000000"/>
          <w:spacing w:val="2"/>
          <w:sz w:val="28"/>
        </w:rPr>
        <w:t xml:space="preserve"> (citing Suh</w:t>
      </w:r>
      <w:r w:rsidR="005408FF">
        <w:rPr>
          <w:rFonts w:ascii="Garamond" w:eastAsia="Garamond" w:hAnsi="Garamond"/>
          <w:color w:val="000000"/>
          <w:spacing w:val="2"/>
          <w:sz w:val="28"/>
        </w:rPr>
        <w:t>, ¶8</w:t>
      </w:r>
      <w:r w:rsidR="00A970C9">
        <w:rPr>
          <w:rFonts w:ascii="Garamond" w:eastAsia="Garamond" w:hAnsi="Garamond"/>
          <w:color w:val="000000"/>
          <w:spacing w:val="2"/>
          <w:sz w:val="28"/>
        </w:rPr>
        <w:t>, APPX0916</w:t>
      </w:r>
      <w:r w:rsidR="004A4DA6">
        <w:rPr>
          <w:rFonts w:ascii="Garamond" w:eastAsia="Garamond" w:hAnsi="Garamond"/>
          <w:color w:val="000000"/>
          <w:spacing w:val="2"/>
          <w:sz w:val="28"/>
        </w:rPr>
        <w:t>)</w:t>
      </w:r>
      <w:r w:rsidR="00BA5796">
        <w:rPr>
          <w:rFonts w:ascii="Garamond" w:eastAsia="Garamond" w:hAnsi="Garamond"/>
          <w:color w:val="000000"/>
          <w:spacing w:val="2"/>
          <w:sz w:val="28"/>
        </w:rPr>
        <w:t xml:space="preserve">.  </w:t>
      </w:r>
      <w:r w:rsidR="00482411">
        <w:rPr>
          <w:rFonts w:ascii="Garamond" w:eastAsia="Garamond" w:hAnsi="Garamond"/>
          <w:color w:val="000000"/>
          <w:spacing w:val="2"/>
          <w:sz w:val="28"/>
        </w:rPr>
        <w:t xml:space="preserve">Further in its summary, the Board emphasizes that </w:t>
      </w:r>
      <w:r w:rsidR="00E91FFD">
        <w:rPr>
          <w:rFonts w:ascii="Garamond" w:eastAsia="Garamond" w:hAnsi="Garamond"/>
          <w:color w:val="000000"/>
          <w:spacing w:val="2"/>
          <w:sz w:val="28"/>
        </w:rPr>
        <w:t xml:space="preserve">“Suh’s meter ‘includes the communication components necessary to communicate by telephone line, </w:t>
      </w:r>
      <w:r w:rsidR="00E91FFD">
        <w:rPr>
          <w:rFonts w:ascii="Garamond" w:eastAsia="Garamond" w:hAnsi="Garamond"/>
          <w:i/>
          <w:color w:val="000000"/>
          <w:spacing w:val="2"/>
          <w:sz w:val="28"/>
        </w:rPr>
        <w:t xml:space="preserve">power line </w:t>
      </w:r>
      <w:r w:rsidR="00E91FFD">
        <w:rPr>
          <w:rFonts w:ascii="Garamond" w:eastAsia="Garamond" w:hAnsi="Garamond"/>
          <w:color w:val="000000"/>
          <w:spacing w:val="2"/>
          <w:sz w:val="28"/>
        </w:rPr>
        <w:t>or wireless communication systems to p</w:t>
      </w:r>
      <w:r w:rsidR="00B2448E">
        <w:rPr>
          <w:rFonts w:ascii="Garamond" w:eastAsia="Garamond" w:hAnsi="Garamond"/>
          <w:color w:val="000000"/>
          <w:spacing w:val="2"/>
          <w:sz w:val="28"/>
        </w:rPr>
        <w:t>eriodically transfer collected data to a remote site.</w:t>
      </w:r>
      <w:r w:rsidR="004A4DA6">
        <w:rPr>
          <w:rFonts w:ascii="Garamond" w:eastAsia="Garamond" w:hAnsi="Garamond"/>
          <w:color w:val="000000"/>
          <w:spacing w:val="2"/>
          <w:sz w:val="28"/>
        </w:rPr>
        <w:t>’</w:t>
      </w:r>
      <w:r w:rsidR="00B2448E">
        <w:rPr>
          <w:rFonts w:ascii="Garamond" w:eastAsia="Garamond" w:hAnsi="Garamond"/>
          <w:color w:val="000000"/>
          <w:spacing w:val="2"/>
          <w:sz w:val="28"/>
        </w:rPr>
        <w:t>”  APPX0013</w:t>
      </w:r>
      <w:r w:rsidR="00F43AF3">
        <w:rPr>
          <w:rFonts w:ascii="Garamond" w:eastAsia="Garamond" w:hAnsi="Garamond"/>
          <w:color w:val="000000"/>
          <w:spacing w:val="2"/>
          <w:sz w:val="28"/>
        </w:rPr>
        <w:t xml:space="preserve"> (emphasis in Final Written Decision)</w:t>
      </w:r>
      <w:r w:rsidR="004A4DA6">
        <w:rPr>
          <w:rFonts w:ascii="Garamond" w:eastAsia="Garamond" w:hAnsi="Garamond"/>
          <w:color w:val="000000"/>
          <w:spacing w:val="2"/>
          <w:sz w:val="28"/>
        </w:rPr>
        <w:t>.</w:t>
      </w:r>
      <w:r w:rsidR="00B25885">
        <w:rPr>
          <w:rFonts w:ascii="Garamond" w:eastAsia="Garamond" w:hAnsi="Garamond"/>
          <w:color w:val="000000"/>
          <w:spacing w:val="2"/>
          <w:sz w:val="28"/>
        </w:rPr>
        <w:t xml:space="preserve">  The board then further emphasized that Suh teaches </w:t>
      </w:r>
      <w:r w:rsidR="00D55B5F">
        <w:rPr>
          <w:rFonts w:ascii="Garamond" w:eastAsia="Garamond" w:hAnsi="Garamond"/>
          <w:color w:val="000000"/>
          <w:spacing w:val="2"/>
          <w:sz w:val="28"/>
        </w:rPr>
        <w:t>that its power meter can “include a modem ‘</w:t>
      </w:r>
      <w:r w:rsidR="00D55B5F" w:rsidRPr="00F43AF3">
        <w:rPr>
          <w:rFonts w:ascii="Garamond" w:eastAsia="Garamond" w:hAnsi="Garamond"/>
          <w:i/>
          <w:color w:val="000000"/>
          <w:spacing w:val="2"/>
          <w:sz w:val="28"/>
        </w:rPr>
        <w:t>connected to the international computer network</w:t>
      </w:r>
      <w:r w:rsidR="00D55B5F">
        <w:rPr>
          <w:rFonts w:ascii="Garamond" w:eastAsia="Garamond" w:hAnsi="Garamond"/>
          <w:color w:val="000000"/>
          <w:spacing w:val="2"/>
          <w:sz w:val="28"/>
        </w:rPr>
        <w:t xml:space="preserve"> 70 via communication lines 72, </w:t>
      </w:r>
      <w:r w:rsidR="00D55B5F" w:rsidRPr="00F43AF3">
        <w:rPr>
          <w:rFonts w:ascii="Garamond" w:eastAsia="Garamond" w:hAnsi="Garamond"/>
          <w:i/>
          <w:color w:val="000000"/>
          <w:spacing w:val="2"/>
          <w:sz w:val="28"/>
        </w:rPr>
        <w:t>powerline 73 using developed data transmission overlay technologies</w:t>
      </w:r>
      <w:r w:rsidR="00D55B5F">
        <w:rPr>
          <w:rFonts w:ascii="Garamond" w:eastAsia="Garamond" w:hAnsi="Garamond"/>
          <w:color w:val="000000"/>
          <w:spacing w:val="2"/>
          <w:sz w:val="28"/>
        </w:rPr>
        <w:t xml:space="preserve"> or, using a transceiver 74 via airway transmissions through an antenna 76.”  </w:t>
      </w:r>
      <w:r w:rsidR="00D55B5F">
        <w:rPr>
          <w:rFonts w:ascii="Garamond" w:eastAsia="Garamond" w:hAnsi="Garamond"/>
          <w:i/>
          <w:color w:val="000000"/>
          <w:spacing w:val="2"/>
          <w:sz w:val="28"/>
        </w:rPr>
        <w:t>Id.</w:t>
      </w:r>
      <w:r w:rsidR="00D55B5F">
        <w:rPr>
          <w:rFonts w:ascii="Garamond" w:eastAsia="Garamond" w:hAnsi="Garamond"/>
          <w:color w:val="000000"/>
          <w:spacing w:val="2"/>
          <w:sz w:val="28"/>
        </w:rPr>
        <w:t xml:space="preserve"> (citing Suh, ¶30, APPX0917) (emphasis in </w:t>
      </w:r>
      <w:r w:rsidR="00F43AF3">
        <w:rPr>
          <w:rFonts w:ascii="Garamond" w:eastAsia="Garamond" w:hAnsi="Garamond"/>
          <w:color w:val="000000"/>
          <w:spacing w:val="2"/>
          <w:sz w:val="28"/>
        </w:rPr>
        <w:t>Final Written Decision)</w:t>
      </w:r>
      <w:r w:rsidR="00BA4D21">
        <w:rPr>
          <w:rFonts w:ascii="Garamond" w:eastAsia="Garamond" w:hAnsi="Garamond"/>
          <w:color w:val="000000"/>
          <w:spacing w:val="2"/>
          <w:sz w:val="28"/>
        </w:rPr>
        <w:t>.  There is no explanation in Suh of what “developed data transmission overlay technologies” comprise</w:t>
      </w:r>
      <w:r w:rsidR="00003254">
        <w:rPr>
          <w:rFonts w:ascii="Garamond" w:eastAsia="Garamond" w:hAnsi="Garamond"/>
          <w:color w:val="000000"/>
          <w:spacing w:val="2"/>
          <w:sz w:val="28"/>
        </w:rPr>
        <w:t xml:space="preserve">, and the only </w:t>
      </w:r>
      <w:r w:rsidR="007856A9">
        <w:rPr>
          <w:rFonts w:ascii="Garamond" w:eastAsia="Garamond" w:hAnsi="Garamond"/>
          <w:color w:val="000000"/>
          <w:spacing w:val="2"/>
          <w:sz w:val="28"/>
        </w:rPr>
        <w:t xml:space="preserve">enabled </w:t>
      </w:r>
      <w:r w:rsidR="00E41363">
        <w:rPr>
          <w:rFonts w:ascii="Garamond" w:eastAsia="Garamond" w:hAnsi="Garamond"/>
          <w:color w:val="000000"/>
          <w:spacing w:val="2"/>
          <w:sz w:val="28"/>
        </w:rPr>
        <w:t xml:space="preserve">description of connection between the power meter of Suh and the “remote site” consists of </w:t>
      </w:r>
      <w:r w:rsidR="00AC622F">
        <w:rPr>
          <w:rFonts w:ascii="Garamond" w:eastAsia="Garamond" w:hAnsi="Garamond"/>
          <w:color w:val="000000"/>
          <w:spacing w:val="2"/>
          <w:sz w:val="28"/>
        </w:rPr>
        <w:t>either a dial-up modem pool or a wireless antenna</w:t>
      </w:r>
      <w:r w:rsidR="007856A9">
        <w:rPr>
          <w:rFonts w:ascii="Garamond" w:eastAsia="Garamond" w:hAnsi="Garamond"/>
          <w:color w:val="000000"/>
          <w:spacing w:val="2"/>
          <w:sz w:val="28"/>
        </w:rPr>
        <w:t>.  APPX</w:t>
      </w:r>
      <w:r w:rsidR="00FE637E">
        <w:rPr>
          <w:rFonts w:ascii="Garamond" w:eastAsia="Garamond" w:hAnsi="Garamond"/>
          <w:color w:val="000000"/>
          <w:spacing w:val="2"/>
          <w:sz w:val="28"/>
        </w:rPr>
        <w:t>0918 (¶¶</w:t>
      </w:r>
      <w:r w:rsidR="003F1404">
        <w:rPr>
          <w:rFonts w:ascii="Garamond" w:eastAsia="Garamond" w:hAnsi="Garamond"/>
          <w:color w:val="000000"/>
          <w:spacing w:val="2"/>
          <w:sz w:val="28"/>
        </w:rPr>
        <w:t xml:space="preserve"> 34-38).</w:t>
      </w:r>
    </w:p>
    <w:p w:rsidR="000C6EEF" w:rsidRPr="00A950DB" w:rsidRDefault="00D051CF" w:rsidP="00DB5961">
      <w:pPr>
        <w:spacing w:after="240" w:line="480" w:lineRule="auto"/>
        <w:ind w:left="72" w:right="72" w:firstLine="720"/>
        <w:textAlignment w:val="baseline"/>
        <w:rPr>
          <w:rFonts w:ascii="Garamond" w:eastAsia="Tahoma" w:hAnsi="Garamond"/>
          <w:b/>
          <w:color w:val="000000"/>
          <w:spacing w:val="6"/>
          <w:sz w:val="27"/>
        </w:rPr>
      </w:pPr>
      <w:r>
        <w:rPr>
          <w:rFonts w:ascii="Garamond" w:eastAsia="Tahoma" w:hAnsi="Garamond"/>
          <w:b/>
          <w:color w:val="000000"/>
          <w:spacing w:val="6"/>
          <w:sz w:val="27"/>
        </w:rPr>
        <w:t xml:space="preserve"> </w:t>
      </w:r>
      <w:r w:rsidR="002267DA" w:rsidRPr="00A950DB">
        <w:rPr>
          <w:rFonts w:ascii="Garamond" w:eastAsia="Tahoma" w:hAnsi="Garamond"/>
          <w:b/>
          <w:color w:val="000000"/>
          <w:spacing w:val="6"/>
          <w:sz w:val="27"/>
        </w:rPr>
        <w:t>D. The IPR Proceeding</w:t>
      </w:r>
    </w:p>
    <w:p w:rsidR="000C6EEF" w:rsidRDefault="002267DA" w:rsidP="00DB5961">
      <w:pPr>
        <w:spacing w:after="240" w:line="480" w:lineRule="auto"/>
        <w:ind w:firstLine="720"/>
        <w:textAlignment w:val="baseline"/>
        <w:rPr>
          <w:rFonts w:ascii="Garamond" w:eastAsia="Garamond" w:hAnsi="Garamond"/>
          <w:color w:val="000000"/>
          <w:spacing w:val="-2"/>
          <w:sz w:val="28"/>
        </w:rPr>
      </w:pPr>
      <w:r>
        <w:rPr>
          <w:rFonts w:ascii="Garamond" w:eastAsia="Garamond" w:hAnsi="Garamond"/>
          <w:color w:val="000000"/>
          <w:spacing w:val="-2"/>
          <w:sz w:val="28"/>
        </w:rPr>
        <w:lastRenderedPageBreak/>
        <w:t>In its Final Written Decision, the Board concluded that claim</w:t>
      </w:r>
      <w:r w:rsidR="00B7247E">
        <w:rPr>
          <w:rFonts w:ascii="Garamond" w:eastAsia="Garamond" w:hAnsi="Garamond"/>
          <w:color w:val="000000"/>
          <w:spacing w:val="-2"/>
          <w:sz w:val="28"/>
        </w:rPr>
        <w:t xml:space="preserve">s 17-22 were obvious over </w:t>
      </w:r>
      <w:r w:rsidR="00B511E2">
        <w:rPr>
          <w:rFonts w:ascii="Garamond" w:eastAsia="Garamond" w:hAnsi="Garamond"/>
          <w:color w:val="000000"/>
          <w:spacing w:val="-2"/>
          <w:sz w:val="28"/>
        </w:rPr>
        <w:t>Suh.  APPX</w:t>
      </w:r>
      <w:r w:rsidR="00D17F5C">
        <w:rPr>
          <w:rFonts w:ascii="Garamond" w:eastAsia="Garamond" w:hAnsi="Garamond"/>
          <w:color w:val="000000"/>
          <w:spacing w:val="-2"/>
          <w:sz w:val="28"/>
        </w:rPr>
        <w:t>0047</w:t>
      </w:r>
      <w:r>
        <w:rPr>
          <w:rFonts w:ascii="Garamond" w:eastAsia="Garamond" w:hAnsi="Garamond"/>
          <w:color w:val="000000"/>
          <w:spacing w:val="-2"/>
          <w:sz w:val="28"/>
        </w:rPr>
        <w:t>. Relevant findings and conclusions of the Board are detailed below.</w:t>
      </w:r>
    </w:p>
    <w:p w:rsidR="000C6EEF" w:rsidRPr="00A950DB" w:rsidRDefault="002267DA" w:rsidP="004C6A47">
      <w:pPr>
        <w:numPr>
          <w:ilvl w:val="0"/>
          <w:numId w:val="8"/>
        </w:numPr>
        <w:tabs>
          <w:tab w:val="clear" w:pos="216"/>
          <w:tab w:val="left" w:pos="1008"/>
        </w:tabs>
        <w:spacing w:after="240"/>
        <w:ind w:left="792" w:right="72"/>
        <w:textAlignment w:val="baseline"/>
        <w:rPr>
          <w:rFonts w:ascii="Garamond" w:eastAsia="Garamond" w:hAnsi="Garamond"/>
          <w:i/>
          <w:color w:val="000000"/>
          <w:sz w:val="29"/>
          <w:highlight w:val="yellow"/>
        </w:rPr>
      </w:pPr>
      <w:r w:rsidRPr="00A950DB">
        <w:rPr>
          <w:rFonts w:ascii="Garamond" w:eastAsia="Garamond" w:hAnsi="Garamond"/>
          <w:i/>
          <w:color w:val="000000"/>
          <w:sz w:val="29"/>
          <w:highlight w:val="yellow"/>
        </w:rPr>
        <w:t xml:space="preserve">The Board </w:t>
      </w:r>
      <w:r w:rsidR="00FE5EAE">
        <w:rPr>
          <w:rFonts w:ascii="Garamond" w:eastAsia="Garamond" w:hAnsi="Garamond"/>
          <w:i/>
          <w:color w:val="000000"/>
          <w:sz w:val="29"/>
          <w:highlight w:val="yellow"/>
        </w:rPr>
        <w:t>And the Parties Agree</w:t>
      </w:r>
      <w:r w:rsidRPr="00A950DB">
        <w:rPr>
          <w:rFonts w:ascii="Garamond" w:eastAsia="Garamond" w:hAnsi="Garamond"/>
          <w:i/>
          <w:color w:val="000000"/>
          <w:sz w:val="29"/>
          <w:highlight w:val="yellow"/>
        </w:rPr>
        <w:t xml:space="preserve"> </w:t>
      </w:r>
      <w:r w:rsidR="00A950DB" w:rsidRPr="00A950DB">
        <w:rPr>
          <w:rFonts w:ascii="Garamond" w:eastAsia="Garamond" w:hAnsi="Garamond"/>
          <w:i/>
          <w:color w:val="000000"/>
          <w:sz w:val="29"/>
          <w:highlight w:val="yellow"/>
        </w:rPr>
        <w:t>on the Definition of Pre- and Post-Metered Power Line</w:t>
      </w:r>
      <w:r w:rsidR="00FE5EAE">
        <w:rPr>
          <w:rFonts w:ascii="Garamond" w:eastAsia="Garamond" w:hAnsi="Garamond"/>
          <w:i/>
          <w:color w:val="000000"/>
          <w:sz w:val="29"/>
          <w:highlight w:val="yellow"/>
        </w:rPr>
        <w:t xml:space="preserve"> as it relates to the “external power line” limitation</w:t>
      </w:r>
    </w:p>
    <w:p w:rsidR="00BF16B3" w:rsidRDefault="002267DA" w:rsidP="00D378B6">
      <w:pPr>
        <w:spacing w:line="480" w:lineRule="auto"/>
        <w:ind w:left="72" w:right="72" w:firstLine="720"/>
        <w:textAlignment w:val="baseline"/>
        <w:rPr>
          <w:rFonts w:ascii="Garamond" w:eastAsia="Garamond" w:hAnsi="Garamond"/>
          <w:color w:val="000000"/>
          <w:sz w:val="28"/>
        </w:rPr>
      </w:pPr>
      <w:r>
        <w:rPr>
          <w:rFonts w:ascii="Garamond" w:eastAsia="Garamond" w:hAnsi="Garamond"/>
          <w:color w:val="000000"/>
          <w:sz w:val="28"/>
        </w:rPr>
        <w:t xml:space="preserve">Before reaching the question of obviousness, the Board construed </w:t>
      </w:r>
      <w:r w:rsidR="000A056D">
        <w:rPr>
          <w:rFonts w:ascii="Garamond" w:eastAsia="Garamond" w:hAnsi="Garamond"/>
          <w:color w:val="000000"/>
          <w:sz w:val="28"/>
        </w:rPr>
        <w:t>a single, uncontested claim limitation</w:t>
      </w:r>
      <w:r w:rsidR="006F1ABC">
        <w:rPr>
          <w:rFonts w:ascii="Garamond" w:eastAsia="Garamond" w:hAnsi="Garamond"/>
          <w:color w:val="000000"/>
          <w:sz w:val="28"/>
        </w:rPr>
        <w:t xml:space="preserve">—“autonomously.”  </w:t>
      </w:r>
      <w:r w:rsidR="00ED5F60">
        <w:rPr>
          <w:rFonts w:ascii="Garamond" w:eastAsia="Garamond" w:hAnsi="Garamond"/>
          <w:color w:val="000000"/>
          <w:sz w:val="28"/>
        </w:rPr>
        <w:t xml:space="preserve">APPX0009-0010.  </w:t>
      </w:r>
      <w:r w:rsidR="006F1ABC">
        <w:rPr>
          <w:rFonts w:ascii="Garamond" w:eastAsia="Garamond" w:hAnsi="Garamond"/>
          <w:color w:val="000000"/>
          <w:sz w:val="28"/>
        </w:rPr>
        <w:t>This claim construction had no bearing on the proceeding, but highlights that the Board failed to construe the entire limitation at issue</w:t>
      </w:r>
      <w:r w:rsidR="004555A8">
        <w:rPr>
          <w:rFonts w:ascii="Garamond" w:eastAsia="Garamond" w:hAnsi="Garamond"/>
          <w:color w:val="000000"/>
          <w:sz w:val="28"/>
        </w:rPr>
        <w:t>:  “</w:t>
      </w:r>
      <w:r w:rsidR="00C45226">
        <w:rPr>
          <w:rFonts w:ascii="Garamond" w:eastAsia="Garamond" w:hAnsi="Garamond"/>
          <w:color w:val="000000"/>
          <w:sz w:val="28"/>
        </w:rPr>
        <w:t>transmitting autonomously in IP format over an external power line network</w:t>
      </w:r>
      <w:r>
        <w:rPr>
          <w:rFonts w:ascii="Garamond" w:eastAsia="Garamond" w:hAnsi="Garamond"/>
          <w:color w:val="000000"/>
          <w:sz w:val="28"/>
        </w:rPr>
        <w:t>.</w:t>
      </w:r>
      <w:r w:rsidR="00C45226">
        <w:rPr>
          <w:rFonts w:ascii="Garamond" w:eastAsia="Garamond" w:hAnsi="Garamond"/>
          <w:color w:val="000000"/>
          <w:sz w:val="28"/>
        </w:rPr>
        <w:t>”  APPX</w:t>
      </w:r>
      <w:r w:rsidR="003C61A3">
        <w:rPr>
          <w:rFonts w:ascii="Garamond" w:eastAsia="Garamond" w:hAnsi="Garamond"/>
          <w:color w:val="000000"/>
          <w:sz w:val="28"/>
        </w:rPr>
        <w:t>0010 (</w:t>
      </w:r>
      <w:r w:rsidR="00376C19">
        <w:rPr>
          <w:rFonts w:ascii="Garamond" w:eastAsia="Garamond" w:hAnsi="Garamond"/>
          <w:color w:val="000000"/>
          <w:sz w:val="28"/>
        </w:rPr>
        <w:t>“We determine that no other term [other than ‘autonomously’] re</w:t>
      </w:r>
      <w:r w:rsidR="009D53EF">
        <w:rPr>
          <w:rFonts w:ascii="Garamond" w:eastAsia="Garamond" w:hAnsi="Garamond"/>
          <w:color w:val="000000"/>
          <w:sz w:val="28"/>
        </w:rPr>
        <w:t>quires express construction for this Final Written Decision.”).</w:t>
      </w:r>
      <w:r>
        <w:rPr>
          <w:rFonts w:ascii="Garamond" w:eastAsia="Garamond" w:hAnsi="Garamond"/>
          <w:color w:val="000000"/>
          <w:sz w:val="28"/>
        </w:rPr>
        <w:t xml:space="preserve"> </w:t>
      </w:r>
      <w:r w:rsidR="00DE7B06">
        <w:rPr>
          <w:rFonts w:ascii="Garamond" w:eastAsia="Garamond" w:hAnsi="Garamond"/>
          <w:color w:val="000000"/>
          <w:sz w:val="28"/>
        </w:rPr>
        <w:t xml:space="preserve"> The Board did, however, apply the </w:t>
      </w:r>
      <w:r w:rsidR="006A638C">
        <w:rPr>
          <w:rFonts w:ascii="Garamond" w:eastAsia="Garamond" w:hAnsi="Garamond"/>
          <w:color w:val="000000"/>
          <w:sz w:val="28"/>
        </w:rPr>
        <w:t xml:space="preserve">definition for “external” that was essentially agreed upon by the parties:  </w:t>
      </w:r>
      <w:r w:rsidR="00756D2E">
        <w:rPr>
          <w:rFonts w:ascii="Garamond" w:eastAsia="Garamond" w:hAnsi="Garamond"/>
          <w:color w:val="000000"/>
          <w:sz w:val="28"/>
        </w:rPr>
        <w:t>“Suh also teaches that the transmission is over an external network as the Internet is external to (i.e., on the distribution grid side of) the meter and dwelling.”  APPX0021.</w:t>
      </w:r>
      <w:r w:rsidR="00D378B6">
        <w:rPr>
          <w:rFonts w:ascii="Garamond" w:eastAsia="Garamond" w:hAnsi="Garamond"/>
          <w:color w:val="000000"/>
          <w:sz w:val="28"/>
        </w:rPr>
        <w:t xml:space="preserve">  However, the Board made no effort to construe the entire limitation</w:t>
      </w:r>
      <w:r w:rsidR="009C7675">
        <w:rPr>
          <w:rFonts w:ascii="Garamond" w:eastAsia="Garamond" w:hAnsi="Garamond"/>
          <w:color w:val="000000"/>
          <w:sz w:val="28"/>
        </w:rPr>
        <w:t>, including an “external power line network.”</w:t>
      </w:r>
    </w:p>
    <w:p w:rsidR="00BF16B3" w:rsidRPr="0020390D" w:rsidRDefault="004A3F03" w:rsidP="00D91B2F">
      <w:pPr>
        <w:spacing w:line="480" w:lineRule="auto"/>
        <w:ind w:left="72" w:right="72" w:firstLine="720"/>
        <w:textAlignment w:val="baseline"/>
        <w:rPr>
          <w:rFonts w:ascii="Garamond" w:eastAsia="Garamond" w:hAnsi="Garamond"/>
          <w:i/>
          <w:color w:val="000000"/>
          <w:sz w:val="28"/>
        </w:rPr>
      </w:pPr>
      <w:r>
        <w:rPr>
          <w:rFonts w:ascii="Garamond" w:eastAsia="Garamond" w:hAnsi="Garamond"/>
          <w:color w:val="000000"/>
          <w:sz w:val="28"/>
        </w:rPr>
        <w:t>Despite this important acquiescence, the Board improperly analyzed the limitations at issue, using separate, incompatible portions of the disclosure to support its Decision</w:t>
      </w:r>
      <w:r w:rsidR="0020390D">
        <w:rPr>
          <w:rFonts w:ascii="Garamond" w:eastAsia="Garamond" w:hAnsi="Garamond"/>
          <w:color w:val="000000"/>
          <w:sz w:val="28"/>
        </w:rPr>
        <w:t xml:space="preserve"> piecemeal, rather than addressing the limitation as a whole. APPX</w:t>
      </w:r>
      <w:r w:rsidR="004637F4">
        <w:rPr>
          <w:rFonts w:ascii="Garamond" w:eastAsia="Garamond" w:hAnsi="Garamond"/>
          <w:color w:val="000000"/>
          <w:sz w:val="28"/>
        </w:rPr>
        <w:t>0020 (“We address below how Suh teaches com</w:t>
      </w:r>
      <w:r w:rsidR="00D378B6">
        <w:rPr>
          <w:rFonts w:ascii="Garamond" w:eastAsia="Garamond" w:hAnsi="Garamond"/>
          <w:color w:val="000000"/>
          <w:sz w:val="28"/>
        </w:rPr>
        <w:t>b</w:t>
      </w:r>
      <w:r w:rsidR="004637F4">
        <w:rPr>
          <w:rFonts w:ascii="Garamond" w:eastAsia="Garamond" w:hAnsi="Garamond"/>
          <w:color w:val="000000"/>
          <w:sz w:val="28"/>
        </w:rPr>
        <w:t xml:space="preserve">ining the relevant features of its </w:t>
      </w:r>
      <w:r w:rsidR="004637F4">
        <w:rPr>
          <w:rFonts w:ascii="Garamond" w:eastAsia="Garamond" w:hAnsi="Garamond"/>
          <w:i/>
          <w:color w:val="000000"/>
          <w:sz w:val="28"/>
        </w:rPr>
        <w:t>embodiments</w:t>
      </w:r>
      <w:r w:rsidR="004637F4">
        <w:rPr>
          <w:rFonts w:ascii="Garamond" w:eastAsia="Garamond" w:hAnsi="Garamond"/>
          <w:color w:val="000000"/>
          <w:sz w:val="28"/>
        </w:rPr>
        <w:t xml:space="preserve"> to teach transmitting the IP-based power consumption information, where (i) the power consumption information is in </w:t>
      </w:r>
      <w:r w:rsidR="004637F4">
        <w:rPr>
          <w:rFonts w:ascii="Garamond" w:eastAsia="Garamond" w:hAnsi="Garamond"/>
          <w:i/>
          <w:color w:val="000000"/>
          <w:sz w:val="28"/>
        </w:rPr>
        <w:t>IP format</w:t>
      </w:r>
      <w:r w:rsidR="004637F4">
        <w:rPr>
          <w:rFonts w:ascii="Garamond" w:eastAsia="Garamond" w:hAnsi="Garamond"/>
          <w:color w:val="000000"/>
          <w:sz w:val="28"/>
        </w:rPr>
        <w:t xml:space="preserve">, (ii) the transmission occurs </w:t>
      </w:r>
      <w:r w:rsidR="004637F4">
        <w:rPr>
          <w:rFonts w:ascii="Garamond" w:eastAsia="Garamond" w:hAnsi="Garamond"/>
          <w:i/>
          <w:color w:val="000000"/>
          <w:sz w:val="28"/>
        </w:rPr>
        <w:t>automonously</w:t>
      </w:r>
      <w:r w:rsidR="004637F4">
        <w:rPr>
          <w:rFonts w:ascii="Garamond" w:eastAsia="Garamond" w:hAnsi="Garamond"/>
          <w:color w:val="000000"/>
          <w:sz w:val="28"/>
        </w:rPr>
        <w:t xml:space="preserve">, and (iii) the transmission is over an </w:t>
      </w:r>
      <w:r w:rsidR="004637F4">
        <w:rPr>
          <w:rFonts w:ascii="Garamond" w:eastAsia="Garamond" w:hAnsi="Garamond"/>
          <w:i/>
          <w:color w:val="000000"/>
          <w:sz w:val="28"/>
        </w:rPr>
        <w:t>external power line network</w:t>
      </w:r>
      <w:r w:rsidR="004637F4">
        <w:rPr>
          <w:rFonts w:ascii="Garamond" w:eastAsia="Garamond" w:hAnsi="Garamond"/>
          <w:color w:val="000000"/>
          <w:sz w:val="28"/>
        </w:rPr>
        <w:t xml:space="preserve">.”) (emphasis </w:t>
      </w:r>
      <w:r w:rsidR="004637F4">
        <w:rPr>
          <w:rFonts w:ascii="Garamond" w:eastAsia="Garamond" w:hAnsi="Garamond"/>
          <w:color w:val="000000"/>
          <w:sz w:val="28"/>
        </w:rPr>
        <w:lastRenderedPageBreak/>
        <w:t>in original).</w:t>
      </w:r>
      <w:r w:rsidR="00D91B2F">
        <w:rPr>
          <w:rFonts w:ascii="Garamond" w:eastAsia="Garamond" w:hAnsi="Garamond"/>
          <w:color w:val="000000"/>
          <w:sz w:val="28"/>
        </w:rPr>
        <w:t xml:space="preserve">  However, “[i]</w:t>
      </w:r>
      <w:r w:rsidR="00D91B2F" w:rsidRPr="00D91B2F">
        <w:rPr>
          <w:rFonts w:ascii="Garamond" w:eastAsia="Garamond" w:hAnsi="Garamond"/>
          <w:color w:val="000000"/>
          <w:sz w:val="28"/>
        </w:rPr>
        <w:t>t is the claim limitation, as a whole, that must be considered in claim construction.</w:t>
      </w:r>
      <w:r w:rsidR="00D91B2F">
        <w:rPr>
          <w:rFonts w:ascii="Garamond" w:eastAsia="Garamond" w:hAnsi="Garamond"/>
          <w:color w:val="000000"/>
          <w:sz w:val="28"/>
        </w:rPr>
        <w:t xml:space="preserve">” </w:t>
      </w:r>
      <w:r w:rsidR="00D91B2F" w:rsidRPr="00D91B2F">
        <w:rPr>
          <w:rFonts w:ascii="Garamond" w:eastAsia="Garamond" w:hAnsi="Garamond"/>
          <w:i/>
          <w:color w:val="000000"/>
          <w:sz w:val="28"/>
        </w:rPr>
        <w:t>Anchor Wall Sys. v. Rockwood Retaining Walls</w:t>
      </w:r>
      <w:r w:rsidR="00D91B2F" w:rsidRPr="00D91B2F">
        <w:rPr>
          <w:rFonts w:ascii="Garamond" w:eastAsia="Garamond" w:hAnsi="Garamond"/>
          <w:color w:val="000000"/>
          <w:sz w:val="28"/>
        </w:rPr>
        <w:t>, 340 F.3d 1298, 1311 (Fed. Cir. 2003)</w:t>
      </w:r>
      <w:r w:rsidR="00D91B2F">
        <w:rPr>
          <w:rFonts w:ascii="Garamond" w:eastAsia="Garamond" w:hAnsi="Garamond"/>
          <w:color w:val="000000"/>
          <w:sz w:val="28"/>
        </w:rPr>
        <w:t>.</w:t>
      </w:r>
    </w:p>
    <w:p w:rsidR="000C6EEF" w:rsidRPr="006117AC" w:rsidRDefault="00A52F6C" w:rsidP="001629C8">
      <w:pPr>
        <w:numPr>
          <w:ilvl w:val="0"/>
          <w:numId w:val="8"/>
        </w:numPr>
        <w:tabs>
          <w:tab w:val="left" w:pos="1080"/>
        </w:tabs>
        <w:spacing w:after="240"/>
        <w:ind w:left="792"/>
        <w:textAlignment w:val="baseline"/>
        <w:rPr>
          <w:rFonts w:ascii="Garamond" w:eastAsia="Garamond" w:hAnsi="Garamond"/>
          <w:i/>
          <w:color w:val="000000"/>
          <w:spacing w:val="5"/>
          <w:sz w:val="29"/>
          <w:highlight w:val="yellow"/>
        </w:rPr>
      </w:pPr>
      <w:r>
        <w:rPr>
          <w:rFonts w:ascii="Garamond" w:eastAsia="Garamond" w:hAnsi="Garamond"/>
          <w:i/>
          <w:color w:val="000000"/>
          <w:spacing w:val="5"/>
          <w:sz w:val="29"/>
          <w:highlight w:val="yellow"/>
        </w:rPr>
        <w:t xml:space="preserve">The Board Found that Suh Teaches IP Format </w:t>
      </w:r>
      <w:r w:rsidR="000A1B57">
        <w:rPr>
          <w:rFonts w:ascii="Garamond" w:eastAsia="Garamond" w:hAnsi="Garamond"/>
          <w:i/>
          <w:color w:val="000000"/>
          <w:spacing w:val="5"/>
          <w:sz w:val="29"/>
          <w:highlight w:val="yellow"/>
        </w:rPr>
        <w:t>Separately from the Entire Limitation</w:t>
      </w:r>
    </w:p>
    <w:p w:rsidR="001945CC" w:rsidRDefault="00F5578C" w:rsidP="009C7675">
      <w:pPr>
        <w:spacing w:line="480" w:lineRule="auto"/>
        <w:ind w:left="72" w:right="144" w:firstLine="720"/>
        <w:textAlignment w:val="baseline"/>
        <w:rPr>
          <w:rFonts w:ascii="Garamond" w:eastAsia="Garamond" w:hAnsi="Garamond"/>
          <w:color w:val="000000"/>
          <w:sz w:val="28"/>
        </w:rPr>
      </w:pPr>
      <w:r>
        <w:rPr>
          <w:rFonts w:ascii="Garamond" w:eastAsia="Garamond" w:hAnsi="Garamond"/>
          <w:color w:val="000000"/>
          <w:sz w:val="28"/>
        </w:rPr>
        <w:t xml:space="preserve">Faced with no disclosure of IP formatted data over an external power line network, the Board addressed IP formatted data for transmission on an external network separately from </w:t>
      </w:r>
      <w:r w:rsidR="00BF2EEE">
        <w:rPr>
          <w:rFonts w:ascii="Garamond" w:eastAsia="Garamond" w:hAnsi="Garamond"/>
          <w:color w:val="000000"/>
          <w:sz w:val="28"/>
        </w:rPr>
        <w:t xml:space="preserve">“external power line.”  APPX0022 (“[W]e find that Suh teaches “transmitting the IP-based power consumption information from the processor to a destination…in IP format over an external…network.”  This recitation of the limitation </w:t>
      </w:r>
      <w:r w:rsidR="00BF2EEE">
        <w:rPr>
          <w:rFonts w:ascii="Garamond" w:eastAsia="Garamond" w:hAnsi="Garamond"/>
          <w:i/>
          <w:color w:val="000000"/>
          <w:sz w:val="28"/>
          <w:u w:val="single"/>
        </w:rPr>
        <w:t>omits “autonomously” and that the external network is ‘power line</w:t>
      </w:r>
      <w:r w:rsidR="00BF2EEE">
        <w:rPr>
          <w:rFonts w:ascii="Garamond" w:eastAsia="Garamond" w:hAnsi="Garamond"/>
          <w:color w:val="000000"/>
          <w:sz w:val="28"/>
          <w:u w:val="single"/>
        </w:rPr>
        <w:t>,</w:t>
      </w:r>
      <w:r w:rsidR="00BF2EEE">
        <w:rPr>
          <w:rFonts w:ascii="Garamond" w:eastAsia="Garamond" w:hAnsi="Garamond"/>
          <w:i/>
          <w:color w:val="000000"/>
          <w:sz w:val="28"/>
          <w:u w:val="single"/>
        </w:rPr>
        <w:t xml:space="preserve">’ </w:t>
      </w:r>
      <w:r w:rsidR="00BF2EEE">
        <w:rPr>
          <w:rFonts w:ascii="Garamond" w:eastAsia="Garamond" w:hAnsi="Garamond"/>
          <w:color w:val="000000"/>
          <w:sz w:val="28"/>
          <w:u w:val="single"/>
        </w:rPr>
        <w:t>which we address below.</w:t>
      </w:r>
      <w:r w:rsidR="00BF2EEE">
        <w:rPr>
          <w:rFonts w:ascii="Garamond" w:eastAsia="Garamond" w:hAnsi="Garamond"/>
          <w:color w:val="000000"/>
          <w:sz w:val="28"/>
        </w:rPr>
        <w:t xml:space="preserve">  </w:t>
      </w:r>
      <w:r w:rsidR="00BF2EEE">
        <w:rPr>
          <w:rFonts w:ascii="Garamond" w:eastAsia="Garamond" w:hAnsi="Garamond"/>
          <w:i/>
          <w:color w:val="000000"/>
          <w:sz w:val="28"/>
        </w:rPr>
        <w:t xml:space="preserve">Id. </w:t>
      </w:r>
      <w:r w:rsidR="00BF2EEE">
        <w:rPr>
          <w:rFonts w:ascii="Garamond" w:eastAsia="Garamond" w:hAnsi="Garamond"/>
          <w:color w:val="000000"/>
          <w:sz w:val="28"/>
        </w:rPr>
        <w:t xml:space="preserve">(emphasis added).  </w:t>
      </w:r>
      <w:r w:rsidR="008A112F">
        <w:rPr>
          <w:rFonts w:ascii="Garamond" w:eastAsia="Garamond" w:hAnsi="Garamond"/>
          <w:color w:val="000000"/>
          <w:sz w:val="28"/>
        </w:rPr>
        <w:t xml:space="preserve"> </w:t>
      </w:r>
      <w:r w:rsidR="0053665F">
        <w:rPr>
          <w:rFonts w:ascii="Garamond" w:eastAsia="Garamond" w:hAnsi="Garamond"/>
          <w:color w:val="000000"/>
          <w:sz w:val="28"/>
        </w:rPr>
        <w:t xml:space="preserve">While both Dr. Akl and Mr. Blackburn confirmed that Suh discloses </w:t>
      </w:r>
      <w:r w:rsidR="00294719">
        <w:rPr>
          <w:rFonts w:ascii="Garamond" w:eastAsia="Garamond" w:hAnsi="Garamond"/>
          <w:color w:val="000000"/>
          <w:sz w:val="28"/>
        </w:rPr>
        <w:t xml:space="preserve">sending power consumption information in IP format, the Board failed to consider both where the IP conversion occurs, and </w:t>
      </w:r>
      <w:r w:rsidR="001A6E2E">
        <w:rPr>
          <w:rFonts w:ascii="Garamond" w:eastAsia="Garamond" w:hAnsi="Garamond"/>
          <w:color w:val="000000"/>
          <w:sz w:val="28"/>
        </w:rPr>
        <w:t xml:space="preserve">even if a power line modem is disclosed, </w:t>
      </w:r>
      <w:r w:rsidR="00C165F0">
        <w:rPr>
          <w:rFonts w:ascii="Garamond" w:eastAsia="Garamond" w:hAnsi="Garamond"/>
          <w:color w:val="000000"/>
          <w:sz w:val="28"/>
        </w:rPr>
        <w:t xml:space="preserve">whether such a </w:t>
      </w:r>
      <w:r w:rsidR="00705780">
        <w:rPr>
          <w:rFonts w:ascii="Garamond" w:eastAsia="Garamond" w:hAnsi="Garamond"/>
          <w:color w:val="000000"/>
          <w:sz w:val="28"/>
        </w:rPr>
        <w:t xml:space="preserve">modem is capable of communicating </w:t>
      </w:r>
      <w:r w:rsidR="00C165F0">
        <w:rPr>
          <w:rFonts w:ascii="Garamond" w:eastAsia="Garamond" w:hAnsi="Garamond"/>
          <w:color w:val="000000"/>
          <w:sz w:val="28"/>
        </w:rPr>
        <w:t xml:space="preserve">IP formatted information </w:t>
      </w:r>
      <w:r w:rsidR="00012928">
        <w:rPr>
          <w:rFonts w:ascii="Garamond" w:eastAsia="Garamond" w:hAnsi="Garamond"/>
          <w:color w:val="000000"/>
          <w:sz w:val="28"/>
        </w:rPr>
        <w:t>on an external power line</w:t>
      </w:r>
      <w:r w:rsidR="00D378B6">
        <w:rPr>
          <w:rFonts w:ascii="Garamond" w:eastAsia="Garamond" w:hAnsi="Garamond"/>
          <w:color w:val="000000"/>
          <w:sz w:val="28"/>
        </w:rPr>
        <w:t xml:space="preserve"> network</w:t>
      </w:r>
      <w:r w:rsidR="00012928">
        <w:rPr>
          <w:rFonts w:ascii="Garamond" w:eastAsia="Garamond" w:hAnsi="Garamond"/>
          <w:color w:val="000000"/>
          <w:sz w:val="28"/>
        </w:rPr>
        <w:t xml:space="preserve">. </w:t>
      </w:r>
    </w:p>
    <w:p w:rsidR="000C6EEF" w:rsidRPr="00700EBE" w:rsidRDefault="00D378B6" w:rsidP="009C7675">
      <w:pPr>
        <w:spacing w:line="480" w:lineRule="auto"/>
        <w:ind w:left="720"/>
        <w:rPr>
          <w:rFonts w:ascii="Garamond" w:eastAsia="Garamond" w:hAnsi="Garamond"/>
          <w:color w:val="000000"/>
          <w:sz w:val="29"/>
        </w:rPr>
      </w:pPr>
      <w:r>
        <w:rPr>
          <w:i/>
        </w:rPr>
        <w:t>iii</w:t>
      </w:r>
      <w:r w:rsidR="002267DA">
        <w:rPr>
          <w:rFonts w:ascii="Garamond" w:eastAsia="Garamond" w:hAnsi="Garamond"/>
          <w:i/>
          <w:color w:val="000000"/>
          <w:sz w:val="29"/>
        </w:rPr>
        <w:t xml:space="preserve">. </w:t>
      </w:r>
      <w:r w:rsidR="00700EBE">
        <w:rPr>
          <w:rFonts w:ascii="Garamond" w:eastAsia="Garamond" w:hAnsi="Garamond"/>
          <w:i/>
          <w:color w:val="000000"/>
          <w:sz w:val="29"/>
        </w:rPr>
        <w:t>The Board Confuses the Enablement of the ’524 Patent with the Enablement of Suh</w:t>
      </w:r>
      <w:r w:rsidR="006A0FFB">
        <w:rPr>
          <w:rFonts w:ascii="Garamond" w:eastAsia="Garamond" w:hAnsi="Garamond"/>
          <w:color w:val="000000"/>
          <w:sz w:val="29"/>
        </w:rPr>
        <w:t>.</w:t>
      </w:r>
    </w:p>
    <w:p w:rsidR="006A0FFB" w:rsidRPr="000C28D4" w:rsidRDefault="006A0FFB" w:rsidP="009C7675">
      <w:pPr>
        <w:spacing w:line="480" w:lineRule="auto"/>
        <w:ind w:right="504" w:firstLine="720"/>
        <w:textAlignment w:val="baseline"/>
        <w:rPr>
          <w:rFonts w:ascii="Garamond" w:eastAsia="Garamond" w:hAnsi="Garamond"/>
          <w:color w:val="000000"/>
          <w:spacing w:val="-1"/>
          <w:sz w:val="28"/>
        </w:rPr>
      </w:pPr>
      <w:r>
        <w:rPr>
          <w:rFonts w:ascii="Garamond" w:eastAsia="Garamond" w:hAnsi="Garamond"/>
          <w:color w:val="000000"/>
          <w:spacing w:val="-1"/>
          <w:sz w:val="28"/>
        </w:rPr>
        <w:t>The Board attempts to distinguish Patent Owner’s position that Suh was not enabled based on its prospective use of “developed data transmission overlay technologies</w:t>
      </w:r>
      <w:r w:rsidR="00010A31">
        <w:rPr>
          <w:rFonts w:ascii="Garamond" w:eastAsia="Garamond" w:hAnsi="Garamond"/>
          <w:color w:val="000000"/>
          <w:spacing w:val="-1"/>
          <w:sz w:val="28"/>
        </w:rPr>
        <w:t xml:space="preserve">,” but fails.  The Board focuses on the fact that HomePlug was developed before the ’524 Patent, rather than before </w:t>
      </w:r>
      <w:r w:rsidR="00010A31">
        <w:rPr>
          <w:rFonts w:ascii="Garamond" w:eastAsia="Garamond" w:hAnsi="Garamond"/>
          <w:i/>
          <w:color w:val="000000"/>
          <w:spacing w:val="-1"/>
          <w:sz w:val="28"/>
        </w:rPr>
        <w:t>Suh</w:t>
      </w:r>
      <w:r w:rsidR="00010A31">
        <w:rPr>
          <w:rFonts w:ascii="Garamond" w:eastAsia="Garamond" w:hAnsi="Garamond"/>
          <w:color w:val="000000"/>
          <w:spacing w:val="-1"/>
          <w:sz w:val="28"/>
        </w:rPr>
        <w:t xml:space="preserve">.  APPX0035 (“[T]he evidence of record shows that at least two power line protocols already were developed before the invention of the ’524 Patent.”).  This statement misses the </w:t>
      </w:r>
      <w:r w:rsidR="00010A31">
        <w:rPr>
          <w:rFonts w:ascii="Garamond" w:eastAsia="Garamond" w:hAnsi="Garamond"/>
          <w:color w:val="000000"/>
          <w:spacing w:val="-1"/>
          <w:sz w:val="28"/>
        </w:rPr>
        <w:lastRenderedPageBreak/>
        <w:t xml:space="preserve">point entirely.  Petitioner and the Board rely on Suh for teaching </w:t>
      </w:r>
      <w:r w:rsidR="0038154C">
        <w:rPr>
          <w:rFonts w:ascii="Garamond" w:eastAsia="Garamond" w:hAnsi="Garamond"/>
          <w:i/>
          <w:color w:val="000000"/>
          <w:spacing w:val="-1"/>
          <w:sz w:val="28"/>
        </w:rPr>
        <w:t xml:space="preserve">external power line </w:t>
      </w:r>
      <w:r w:rsidR="0038154C">
        <w:rPr>
          <w:rFonts w:ascii="Garamond" w:eastAsia="Garamond" w:hAnsi="Garamond"/>
          <w:color w:val="000000"/>
          <w:spacing w:val="-1"/>
          <w:sz w:val="28"/>
        </w:rPr>
        <w:t xml:space="preserve">transmission, but HomePlug was not publicly disclosed until </w:t>
      </w:r>
      <w:r w:rsidR="0038154C">
        <w:rPr>
          <w:rFonts w:ascii="Garamond" w:eastAsia="Garamond" w:hAnsi="Garamond"/>
          <w:i/>
          <w:color w:val="000000"/>
          <w:spacing w:val="-1"/>
          <w:sz w:val="28"/>
        </w:rPr>
        <w:t xml:space="preserve">after </w:t>
      </w:r>
      <w:r w:rsidR="0038154C">
        <w:rPr>
          <w:rFonts w:ascii="Garamond" w:eastAsia="Garamond" w:hAnsi="Garamond"/>
          <w:color w:val="000000"/>
          <w:spacing w:val="-1"/>
          <w:sz w:val="28"/>
        </w:rPr>
        <w:t>Suh.  Suh was file</w:t>
      </w:r>
      <w:r w:rsidR="00247824">
        <w:rPr>
          <w:rFonts w:ascii="Garamond" w:eastAsia="Garamond" w:hAnsi="Garamond"/>
          <w:color w:val="000000"/>
          <w:spacing w:val="-1"/>
          <w:sz w:val="28"/>
        </w:rPr>
        <w:t>d on April 13, 2001.  APPX</w:t>
      </w:r>
      <w:r w:rsidR="00A52BCA">
        <w:rPr>
          <w:rFonts w:ascii="Garamond" w:eastAsia="Garamond" w:hAnsi="Garamond"/>
          <w:color w:val="000000"/>
          <w:spacing w:val="-1"/>
          <w:sz w:val="28"/>
        </w:rPr>
        <w:t xml:space="preserve">0910.  The HomePlug specification, however was not published until </w:t>
      </w:r>
      <w:r w:rsidR="00B51B5A">
        <w:rPr>
          <w:rFonts w:ascii="Garamond" w:eastAsia="Garamond" w:hAnsi="Garamond"/>
          <w:color w:val="000000"/>
          <w:spacing w:val="-1"/>
          <w:sz w:val="28"/>
        </w:rPr>
        <w:t xml:space="preserve">December 1, 2001, more than </w:t>
      </w:r>
      <w:r w:rsidR="009F1A10">
        <w:rPr>
          <w:rFonts w:ascii="Garamond" w:eastAsia="Garamond" w:hAnsi="Garamond"/>
          <w:color w:val="000000"/>
          <w:spacing w:val="-1"/>
          <w:sz w:val="28"/>
        </w:rPr>
        <w:t>seven months later.  APPX0971.</w:t>
      </w:r>
      <w:r w:rsidR="0077193A">
        <w:rPr>
          <w:rFonts w:ascii="Garamond" w:eastAsia="Garamond" w:hAnsi="Garamond"/>
          <w:color w:val="000000"/>
          <w:spacing w:val="-1"/>
          <w:sz w:val="28"/>
        </w:rPr>
        <w:t xml:space="preserve">  </w:t>
      </w:r>
      <w:r w:rsidR="00424B3A">
        <w:rPr>
          <w:rFonts w:ascii="Garamond" w:eastAsia="Garamond" w:hAnsi="Garamond"/>
          <w:color w:val="000000"/>
          <w:spacing w:val="-1"/>
          <w:sz w:val="28"/>
        </w:rPr>
        <w:t xml:space="preserve">Additionally, the Board cites numerous cases for the proposition that a prior art </w:t>
      </w:r>
      <w:r w:rsidR="00424B3A">
        <w:rPr>
          <w:rFonts w:ascii="Garamond" w:eastAsia="Garamond" w:hAnsi="Garamond"/>
          <w:i/>
          <w:color w:val="000000"/>
          <w:spacing w:val="-1"/>
          <w:sz w:val="28"/>
        </w:rPr>
        <w:t xml:space="preserve">patent </w:t>
      </w:r>
      <w:r w:rsidR="00424B3A">
        <w:rPr>
          <w:rFonts w:ascii="Garamond" w:eastAsia="Garamond" w:hAnsi="Garamond"/>
          <w:color w:val="000000"/>
          <w:spacing w:val="-1"/>
          <w:sz w:val="28"/>
        </w:rPr>
        <w:t xml:space="preserve">is presumed enabled, but Suh is </w:t>
      </w:r>
      <w:r w:rsidR="00424B3A">
        <w:rPr>
          <w:rFonts w:ascii="Garamond" w:eastAsia="Garamond" w:hAnsi="Garamond"/>
          <w:i/>
          <w:color w:val="000000"/>
          <w:spacing w:val="-1"/>
          <w:sz w:val="28"/>
        </w:rPr>
        <w:t xml:space="preserve">not a prior art </w:t>
      </w:r>
      <w:r w:rsidR="00424B3A">
        <w:rPr>
          <w:rFonts w:ascii="Garamond" w:eastAsia="Garamond" w:hAnsi="Garamond"/>
          <w:i/>
          <w:color w:val="000000"/>
          <w:spacing w:val="-1"/>
          <w:sz w:val="28"/>
          <w:u w:val="single"/>
        </w:rPr>
        <w:t>patent</w:t>
      </w:r>
      <w:r w:rsidR="00424B3A">
        <w:rPr>
          <w:rFonts w:ascii="Garamond" w:eastAsia="Garamond" w:hAnsi="Garamond"/>
          <w:color w:val="000000"/>
          <w:spacing w:val="-1"/>
          <w:sz w:val="28"/>
        </w:rPr>
        <w:t xml:space="preserve">—it is an abandoned </w:t>
      </w:r>
      <w:r w:rsidR="005B5A32">
        <w:rPr>
          <w:rFonts w:ascii="Garamond" w:eastAsia="Garamond" w:hAnsi="Garamond"/>
          <w:i/>
          <w:color w:val="000000"/>
          <w:spacing w:val="-1"/>
          <w:sz w:val="28"/>
          <w:u w:val="single"/>
        </w:rPr>
        <w:t>patent application</w:t>
      </w:r>
      <w:r w:rsidR="005B5A32">
        <w:rPr>
          <w:rFonts w:ascii="Garamond" w:eastAsia="Garamond" w:hAnsi="Garamond"/>
          <w:color w:val="000000"/>
          <w:spacing w:val="-1"/>
          <w:sz w:val="28"/>
          <w:u w:val="single"/>
        </w:rPr>
        <w:t>.</w:t>
      </w:r>
      <w:r w:rsidR="005B5A32">
        <w:rPr>
          <w:rFonts w:ascii="Garamond" w:eastAsia="Garamond" w:hAnsi="Garamond"/>
          <w:color w:val="000000"/>
          <w:spacing w:val="-1"/>
          <w:sz w:val="28"/>
        </w:rPr>
        <w:t xml:space="preserve">  APPX</w:t>
      </w:r>
      <w:r w:rsidR="00A15A37">
        <w:rPr>
          <w:rFonts w:ascii="Garamond" w:eastAsia="Garamond" w:hAnsi="Garamond"/>
          <w:color w:val="000000"/>
          <w:spacing w:val="-1"/>
          <w:sz w:val="28"/>
        </w:rPr>
        <w:t xml:space="preserve">0034.  The Board seemingly takes great pleasure in pointing out that the Patent Owner “does not acknowledge this presumption,” but Patent Owner’s failure to acknowledge </w:t>
      </w:r>
      <w:r w:rsidR="00D91B2F">
        <w:rPr>
          <w:rFonts w:ascii="Garamond" w:eastAsia="Garamond" w:hAnsi="Garamond"/>
          <w:color w:val="000000"/>
          <w:spacing w:val="-1"/>
          <w:sz w:val="28"/>
        </w:rPr>
        <w:t xml:space="preserve">the applicability of a rebuttable presumption </w:t>
      </w:r>
      <w:r w:rsidR="00A15A37">
        <w:rPr>
          <w:rFonts w:ascii="Garamond" w:eastAsia="Garamond" w:hAnsi="Garamond"/>
          <w:color w:val="000000"/>
          <w:spacing w:val="-1"/>
          <w:sz w:val="28"/>
        </w:rPr>
        <w:t>is for a very salient reason – the presumption does not apply.</w:t>
      </w:r>
      <w:r w:rsidR="00424B3A" w:rsidRPr="00424B3A">
        <w:rPr>
          <w:rFonts w:ascii="Garamond" w:eastAsia="Garamond" w:hAnsi="Garamond"/>
          <w:i/>
          <w:color w:val="000000"/>
          <w:spacing w:val="-1"/>
          <w:sz w:val="28"/>
        </w:rPr>
        <w:t xml:space="preserve">  </w:t>
      </w:r>
      <w:r w:rsidR="00D91B2F">
        <w:rPr>
          <w:rFonts w:ascii="Garamond" w:eastAsia="Garamond" w:hAnsi="Garamond"/>
          <w:color w:val="000000"/>
          <w:spacing w:val="-1"/>
          <w:sz w:val="28"/>
        </w:rPr>
        <w:t xml:space="preserve">Even so, patent owner did rebut the presumption, regardless of the characterization of the prior art as patent or non-patent.  To meet its burden, Patent Owner provided argument and expert testimony rebutting same.  This Court has clarified that the presumption of enablement can be so rebutted with argument alone.  </w:t>
      </w:r>
      <w:r w:rsidR="00D91B2F">
        <w:rPr>
          <w:rFonts w:ascii="Garamond" w:eastAsia="Garamond" w:hAnsi="Garamond"/>
          <w:i/>
          <w:color w:val="000000"/>
          <w:spacing w:val="-1"/>
          <w:sz w:val="28"/>
        </w:rPr>
        <w:t xml:space="preserve">In re Morsa </w:t>
      </w:r>
      <w:r w:rsidR="00D91B2F">
        <w:rPr>
          <w:rFonts w:ascii="Garamond" w:eastAsia="Garamond" w:hAnsi="Garamond"/>
          <w:color w:val="000000"/>
          <w:spacing w:val="-1"/>
          <w:sz w:val="28"/>
        </w:rPr>
        <w:t xml:space="preserve">713 F.3d 104, 110 (Fed. Cir. 2013).  </w:t>
      </w:r>
      <w:r w:rsidR="0077193A">
        <w:rPr>
          <w:rFonts w:ascii="Garamond" w:eastAsia="Garamond" w:hAnsi="Garamond"/>
          <w:color w:val="000000"/>
          <w:spacing w:val="-1"/>
          <w:sz w:val="28"/>
        </w:rPr>
        <w:t xml:space="preserve">Therefore, </w:t>
      </w:r>
      <w:r w:rsidR="000C28D4">
        <w:rPr>
          <w:rFonts w:ascii="Garamond" w:eastAsia="Garamond" w:hAnsi="Garamond"/>
          <w:color w:val="000000"/>
          <w:spacing w:val="-1"/>
          <w:sz w:val="28"/>
        </w:rPr>
        <w:t xml:space="preserve">one of ordinary skill in the art </w:t>
      </w:r>
      <w:r w:rsidR="000C28D4">
        <w:rPr>
          <w:rFonts w:ascii="Garamond" w:eastAsia="Garamond" w:hAnsi="Garamond"/>
          <w:i/>
          <w:color w:val="000000"/>
          <w:spacing w:val="-1"/>
          <w:sz w:val="28"/>
        </w:rPr>
        <w:t xml:space="preserve">could </w:t>
      </w:r>
      <w:r w:rsidR="000C28D4">
        <w:rPr>
          <w:rFonts w:ascii="Garamond" w:eastAsia="Garamond" w:hAnsi="Garamond"/>
          <w:color w:val="000000"/>
          <w:spacing w:val="-1"/>
          <w:sz w:val="28"/>
        </w:rPr>
        <w:t xml:space="preserve">not have read Suh as adopting HomePlug as a </w:t>
      </w:r>
      <w:r w:rsidR="000C28D4">
        <w:rPr>
          <w:rFonts w:ascii="Garamond" w:eastAsia="Garamond" w:hAnsi="Garamond"/>
          <w:i/>
          <w:color w:val="000000"/>
          <w:spacing w:val="-1"/>
          <w:sz w:val="28"/>
        </w:rPr>
        <w:t>then</w:t>
      </w:r>
      <w:r w:rsidR="000C28D4">
        <w:rPr>
          <w:rFonts w:ascii="Garamond" w:eastAsia="Garamond" w:hAnsi="Garamond"/>
          <w:color w:val="000000"/>
          <w:spacing w:val="-1"/>
          <w:sz w:val="28"/>
        </w:rPr>
        <w:t xml:space="preserve"> developed </w:t>
      </w:r>
      <w:r w:rsidR="00D47FBC">
        <w:rPr>
          <w:rFonts w:ascii="Garamond" w:eastAsia="Garamond" w:hAnsi="Garamond"/>
          <w:color w:val="000000"/>
          <w:spacing w:val="-1"/>
          <w:sz w:val="28"/>
        </w:rPr>
        <w:t xml:space="preserve">data transmission overlay technology, but rather a later-developed data transmission overlay technology.  </w:t>
      </w:r>
    </w:p>
    <w:p w:rsidR="000C6EEF" w:rsidRPr="001629C8" w:rsidRDefault="00D47FBC" w:rsidP="00D378B6">
      <w:pPr>
        <w:tabs>
          <w:tab w:val="left" w:pos="792"/>
        </w:tabs>
        <w:spacing w:line="480" w:lineRule="auto"/>
        <w:ind w:left="72"/>
        <w:textAlignment w:val="baseline"/>
        <w:rPr>
          <w:rFonts w:ascii="Garamond" w:eastAsia="Tahoma" w:hAnsi="Garamond"/>
          <w:b/>
          <w:color w:val="000000"/>
          <w:spacing w:val="4"/>
          <w:sz w:val="28"/>
          <w:szCs w:val="28"/>
        </w:rPr>
      </w:pPr>
      <w:r w:rsidRPr="001629C8">
        <w:rPr>
          <w:rFonts w:ascii="Garamond" w:eastAsia="Tahoma" w:hAnsi="Garamond"/>
          <w:b/>
          <w:color w:val="000000"/>
          <w:spacing w:val="4"/>
          <w:sz w:val="28"/>
          <w:szCs w:val="28"/>
        </w:rPr>
        <w:t>V.</w:t>
      </w:r>
      <w:r w:rsidR="002267DA" w:rsidRPr="001629C8">
        <w:rPr>
          <w:rFonts w:ascii="Garamond" w:eastAsia="Tahoma" w:hAnsi="Garamond"/>
          <w:b/>
          <w:color w:val="000000"/>
          <w:spacing w:val="4"/>
          <w:sz w:val="28"/>
          <w:szCs w:val="28"/>
        </w:rPr>
        <w:tab/>
        <w:t>SUMMARY OF THE ARGUMENT</w:t>
      </w:r>
    </w:p>
    <w:p w:rsidR="00671176" w:rsidRDefault="002267DA" w:rsidP="00D378B6">
      <w:pPr>
        <w:spacing w:line="480" w:lineRule="auto"/>
        <w:ind w:left="72" w:right="72" w:firstLine="720"/>
        <w:textAlignment w:val="baseline"/>
        <w:rPr>
          <w:rFonts w:ascii="Garamond" w:eastAsia="Garamond" w:hAnsi="Garamond"/>
          <w:color w:val="000000"/>
          <w:sz w:val="28"/>
        </w:rPr>
      </w:pPr>
      <w:r>
        <w:rPr>
          <w:rFonts w:ascii="Garamond" w:eastAsia="Garamond" w:hAnsi="Garamond"/>
          <w:color w:val="000000"/>
          <w:sz w:val="28"/>
        </w:rPr>
        <w:t xml:space="preserve">The Board erred </w:t>
      </w:r>
      <w:r w:rsidR="00B44CB1">
        <w:rPr>
          <w:rFonts w:ascii="Garamond" w:eastAsia="Garamond" w:hAnsi="Garamond"/>
          <w:color w:val="000000"/>
          <w:sz w:val="28"/>
        </w:rPr>
        <w:t xml:space="preserve">by holding that Petitioner met its burden of proving, by a preponderance of the evidence, that </w:t>
      </w:r>
      <w:r w:rsidR="00A5002A">
        <w:rPr>
          <w:rFonts w:ascii="Garamond" w:eastAsia="Garamond" w:hAnsi="Garamond"/>
          <w:color w:val="000000"/>
          <w:sz w:val="28"/>
        </w:rPr>
        <w:t>a person of ordinary skill in the art “POSITA” would have found claim</w:t>
      </w:r>
      <w:r w:rsidR="00D91B2F">
        <w:rPr>
          <w:rFonts w:ascii="Garamond" w:eastAsia="Garamond" w:hAnsi="Garamond"/>
          <w:color w:val="000000"/>
          <w:sz w:val="28"/>
        </w:rPr>
        <w:t>s</w:t>
      </w:r>
      <w:r w:rsidR="00A5002A">
        <w:rPr>
          <w:rFonts w:ascii="Garamond" w:eastAsia="Garamond" w:hAnsi="Garamond"/>
          <w:color w:val="000000"/>
          <w:sz w:val="28"/>
        </w:rPr>
        <w:t xml:space="preserve"> 17</w:t>
      </w:r>
      <w:r w:rsidR="00D91B2F">
        <w:rPr>
          <w:rFonts w:ascii="Garamond" w:eastAsia="Garamond" w:hAnsi="Garamond"/>
          <w:color w:val="000000"/>
          <w:sz w:val="28"/>
        </w:rPr>
        <w:t xml:space="preserve"> – 22</w:t>
      </w:r>
      <w:r w:rsidR="00A5002A">
        <w:rPr>
          <w:rFonts w:ascii="Garamond" w:eastAsia="Garamond" w:hAnsi="Garamond"/>
          <w:color w:val="000000"/>
          <w:sz w:val="28"/>
        </w:rPr>
        <w:t xml:space="preserve"> of the ’524 Patent obvious over Suh.</w:t>
      </w:r>
      <w:r w:rsidR="00E9159C">
        <w:rPr>
          <w:rFonts w:ascii="Garamond" w:eastAsia="Garamond" w:hAnsi="Garamond"/>
          <w:color w:val="000000"/>
          <w:sz w:val="28"/>
        </w:rPr>
        <w:t xml:space="preserve">  In doing so, the Board improperly addressed the disputed claim limitation of “transmitting IP-based consumption data autonomously in IP format over an external power line.”  </w:t>
      </w:r>
      <w:r w:rsidR="004E206B">
        <w:rPr>
          <w:rFonts w:ascii="Garamond" w:eastAsia="Garamond" w:hAnsi="Garamond"/>
          <w:color w:val="000000"/>
          <w:sz w:val="28"/>
        </w:rPr>
        <w:lastRenderedPageBreak/>
        <w:t xml:space="preserve">While consistently crediting Petitioner’s expert, Dr. Akl, </w:t>
      </w:r>
      <w:r w:rsidR="00EE10FB">
        <w:rPr>
          <w:rFonts w:ascii="Garamond" w:eastAsia="Garamond" w:hAnsi="Garamond"/>
          <w:color w:val="000000"/>
          <w:sz w:val="28"/>
        </w:rPr>
        <w:t>for his uncorroborated testimony, the Board cited a lack of corroboration on the part of Mr. Blackburn</w:t>
      </w:r>
      <w:r w:rsidR="000E5C5C">
        <w:rPr>
          <w:rFonts w:ascii="Garamond" w:eastAsia="Garamond" w:hAnsi="Garamond"/>
          <w:color w:val="000000"/>
          <w:sz w:val="28"/>
        </w:rPr>
        <w:t xml:space="preserve">, despite neither expert being challenged on their qualifications or methodology.  </w:t>
      </w:r>
      <w:r>
        <w:rPr>
          <w:rFonts w:ascii="Garamond" w:eastAsia="Garamond" w:hAnsi="Garamond"/>
          <w:color w:val="000000"/>
          <w:sz w:val="28"/>
        </w:rPr>
        <w:t xml:space="preserve"> </w:t>
      </w:r>
    </w:p>
    <w:p w:rsidR="002932DF" w:rsidRDefault="004136EF">
      <w:pPr>
        <w:spacing w:line="665" w:lineRule="exact"/>
        <w:ind w:left="72" w:right="72" w:firstLine="720"/>
        <w:textAlignment w:val="baseline"/>
        <w:rPr>
          <w:rFonts w:ascii="Garamond" w:eastAsia="Garamond" w:hAnsi="Garamond"/>
          <w:color w:val="000000"/>
          <w:sz w:val="28"/>
        </w:rPr>
      </w:pPr>
      <w:r>
        <w:rPr>
          <w:rFonts w:ascii="Garamond" w:eastAsia="Garamond" w:hAnsi="Garamond"/>
          <w:color w:val="000000"/>
          <w:sz w:val="28"/>
        </w:rPr>
        <w:t xml:space="preserve">In arriving at its conclusion of obviousness, the Board </w:t>
      </w:r>
      <w:r w:rsidR="005C5123">
        <w:rPr>
          <w:rFonts w:ascii="Garamond" w:eastAsia="Garamond" w:hAnsi="Garamond"/>
          <w:color w:val="000000"/>
          <w:sz w:val="28"/>
        </w:rPr>
        <w:t>committed several errors:</w:t>
      </w:r>
    </w:p>
    <w:p w:rsidR="005C5123" w:rsidRDefault="005C5123" w:rsidP="005C5123">
      <w:pPr>
        <w:pStyle w:val="ListParagraph"/>
        <w:numPr>
          <w:ilvl w:val="0"/>
          <w:numId w:val="10"/>
        </w:numPr>
        <w:spacing w:line="665" w:lineRule="exact"/>
        <w:ind w:right="72"/>
        <w:textAlignment w:val="baseline"/>
        <w:rPr>
          <w:rFonts w:ascii="Garamond" w:eastAsia="Garamond" w:hAnsi="Garamond"/>
          <w:color w:val="000000"/>
          <w:sz w:val="28"/>
        </w:rPr>
      </w:pPr>
      <w:r>
        <w:rPr>
          <w:rFonts w:ascii="Garamond" w:eastAsia="Garamond" w:hAnsi="Garamond"/>
          <w:color w:val="000000"/>
          <w:sz w:val="28"/>
        </w:rPr>
        <w:t xml:space="preserve">The Board assumed Dr. Akl’s uncorroborated testimony that a power line modem could be substituted for a telephone modem and still operate as </w:t>
      </w:r>
      <w:r w:rsidR="00157ED4">
        <w:rPr>
          <w:rFonts w:ascii="Garamond" w:eastAsia="Garamond" w:hAnsi="Garamond"/>
          <w:color w:val="000000"/>
          <w:sz w:val="28"/>
        </w:rPr>
        <w:t>Suh disclosed was correct;</w:t>
      </w:r>
    </w:p>
    <w:p w:rsidR="007A56F4" w:rsidRDefault="007A56F4" w:rsidP="007A56F4">
      <w:pPr>
        <w:pStyle w:val="ListParagraph"/>
        <w:numPr>
          <w:ilvl w:val="0"/>
          <w:numId w:val="10"/>
        </w:numPr>
        <w:spacing w:line="665" w:lineRule="exact"/>
        <w:ind w:right="72"/>
        <w:textAlignment w:val="baseline"/>
        <w:rPr>
          <w:rFonts w:ascii="Garamond" w:eastAsia="Garamond" w:hAnsi="Garamond"/>
          <w:color w:val="000000"/>
          <w:sz w:val="28"/>
        </w:rPr>
      </w:pPr>
      <w:r>
        <w:rPr>
          <w:rFonts w:ascii="Garamond" w:eastAsia="Garamond" w:hAnsi="Garamond"/>
          <w:color w:val="000000"/>
          <w:sz w:val="28"/>
        </w:rPr>
        <w:t>The Board relied on HomePlug and X.10 as protocols to show that Suh was both enabled and that it would have been obvious to use either to arrive at claim 17, though X.10 is not an IP protocol, and HomePlug was not disclosed before Suh’s application date, and therefore cannot support Petitioner’s argument that both are “developed data transmission overlay technologies” in support of Suh;</w:t>
      </w:r>
    </w:p>
    <w:p w:rsidR="00157ED4" w:rsidRDefault="00157ED4" w:rsidP="00D91B2F">
      <w:pPr>
        <w:pStyle w:val="ListParagraph"/>
        <w:numPr>
          <w:ilvl w:val="0"/>
          <w:numId w:val="10"/>
        </w:numPr>
        <w:spacing w:line="480" w:lineRule="auto"/>
        <w:ind w:right="72"/>
        <w:textAlignment w:val="baseline"/>
        <w:rPr>
          <w:rFonts w:ascii="Garamond" w:eastAsia="Garamond" w:hAnsi="Garamond"/>
          <w:color w:val="000000"/>
          <w:sz w:val="28"/>
        </w:rPr>
      </w:pPr>
      <w:r>
        <w:rPr>
          <w:rFonts w:ascii="Garamond" w:eastAsia="Garamond" w:hAnsi="Garamond"/>
          <w:color w:val="000000"/>
          <w:sz w:val="28"/>
        </w:rPr>
        <w:t>The PTO considered similar references (Roos and Desling) cited by Petitioners</w:t>
      </w:r>
      <w:r w:rsidR="00A94C3B">
        <w:rPr>
          <w:rFonts w:ascii="Garamond" w:eastAsia="Garamond" w:hAnsi="Garamond"/>
          <w:color w:val="000000"/>
          <w:sz w:val="28"/>
        </w:rPr>
        <w:t xml:space="preserve"> (Exhibits 1013, 1014, APPX</w:t>
      </w:r>
      <w:r w:rsidR="009E72B9">
        <w:rPr>
          <w:rFonts w:ascii="Garamond" w:eastAsia="Garamond" w:hAnsi="Garamond"/>
          <w:color w:val="000000"/>
          <w:sz w:val="28"/>
        </w:rPr>
        <w:t>1119 – APPX1134), and allowed the ’524 Patent, despite both disclosing a “power line modem.”</w:t>
      </w:r>
      <w:r w:rsidR="004B132E">
        <w:rPr>
          <w:rFonts w:ascii="Garamond" w:eastAsia="Garamond" w:hAnsi="Garamond"/>
          <w:color w:val="000000"/>
          <w:sz w:val="28"/>
        </w:rPr>
        <w:t xml:space="preserve">; and </w:t>
      </w:r>
      <w:r w:rsidR="009E72B9">
        <w:rPr>
          <w:rFonts w:ascii="Garamond" w:eastAsia="Garamond" w:hAnsi="Garamond"/>
          <w:color w:val="000000"/>
          <w:sz w:val="28"/>
        </w:rPr>
        <w:t xml:space="preserve"> </w:t>
      </w:r>
    </w:p>
    <w:p w:rsidR="00671176" w:rsidRPr="00B13BA2" w:rsidRDefault="0039401C" w:rsidP="00D91B2F">
      <w:pPr>
        <w:pStyle w:val="ListParagraph"/>
        <w:numPr>
          <w:ilvl w:val="0"/>
          <w:numId w:val="10"/>
        </w:numPr>
        <w:spacing w:after="0" w:line="480" w:lineRule="auto"/>
        <w:ind w:right="72"/>
        <w:contextualSpacing w:val="0"/>
        <w:textAlignment w:val="baseline"/>
        <w:rPr>
          <w:rFonts w:ascii="Garamond" w:eastAsia="Garamond" w:hAnsi="Garamond"/>
          <w:color w:val="000000"/>
          <w:sz w:val="28"/>
        </w:rPr>
      </w:pPr>
      <w:r>
        <w:rPr>
          <w:rFonts w:ascii="Garamond" w:eastAsia="Garamond" w:hAnsi="Garamond"/>
          <w:color w:val="000000"/>
          <w:sz w:val="28"/>
        </w:rPr>
        <w:t xml:space="preserve">Suh is not enabled, and, as a patent </w:t>
      </w:r>
      <w:r>
        <w:rPr>
          <w:rFonts w:ascii="Garamond" w:eastAsia="Garamond" w:hAnsi="Garamond"/>
          <w:i/>
          <w:color w:val="000000"/>
          <w:sz w:val="28"/>
        </w:rPr>
        <w:t>application</w:t>
      </w:r>
      <w:r>
        <w:rPr>
          <w:rFonts w:ascii="Garamond" w:eastAsia="Garamond" w:hAnsi="Garamond"/>
          <w:color w:val="000000"/>
          <w:sz w:val="28"/>
        </w:rPr>
        <w:t>, rather than an issued patent, is not entitled to the same presumption of enablement</w:t>
      </w:r>
      <w:r w:rsidR="00D91B2F">
        <w:rPr>
          <w:rFonts w:ascii="Garamond" w:eastAsia="Garamond" w:hAnsi="Garamond"/>
          <w:color w:val="000000"/>
          <w:sz w:val="28"/>
        </w:rPr>
        <w:t xml:space="preserve">.  Even so, Patent Owner did rebut the presumption of enablement.  </w:t>
      </w:r>
      <w:r w:rsidR="00D91B2F">
        <w:rPr>
          <w:rFonts w:ascii="Garamond" w:eastAsia="Garamond" w:hAnsi="Garamond"/>
          <w:i/>
          <w:color w:val="000000"/>
          <w:sz w:val="28"/>
        </w:rPr>
        <w:t>See Morsa</w:t>
      </w:r>
      <w:r w:rsidR="00D91B2F">
        <w:rPr>
          <w:rFonts w:ascii="Garamond" w:eastAsia="Garamond" w:hAnsi="Garamond"/>
          <w:color w:val="000000"/>
          <w:sz w:val="28"/>
        </w:rPr>
        <w:t xml:space="preserve">, </w:t>
      </w:r>
      <w:r w:rsidR="00D91B2F">
        <w:rPr>
          <w:rFonts w:ascii="Garamond" w:eastAsia="Garamond" w:hAnsi="Garamond"/>
          <w:color w:val="000000"/>
          <w:spacing w:val="-1"/>
          <w:sz w:val="28"/>
        </w:rPr>
        <w:t>713 F.3d at 110.</w:t>
      </w:r>
    </w:p>
    <w:p w:rsidR="000C6EEF" w:rsidRPr="001629C8" w:rsidRDefault="002267DA" w:rsidP="00D378B6">
      <w:pPr>
        <w:spacing w:line="480" w:lineRule="auto"/>
        <w:textAlignment w:val="baseline"/>
        <w:rPr>
          <w:rFonts w:ascii="Garamond" w:eastAsia="Tahoma" w:hAnsi="Garamond"/>
          <w:b/>
          <w:color w:val="000000"/>
          <w:spacing w:val="32"/>
          <w:sz w:val="28"/>
          <w:szCs w:val="28"/>
        </w:rPr>
      </w:pPr>
      <w:r w:rsidRPr="001629C8">
        <w:rPr>
          <w:rFonts w:ascii="Garamond" w:eastAsia="Tahoma" w:hAnsi="Garamond"/>
          <w:b/>
          <w:color w:val="000000"/>
          <w:spacing w:val="32"/>
          <w:sz w:val="28"/>
          <w:szCs w:val="28"/>
        </w:rPr>
        <w:t>VI. ARGUMENT</w:t>
      </w:r>
    </w:p>
    <w:p w:rsidR="000C6EEF" w:rsidRPr="001629C8" w:rsidRDefault="002267DA" w:rsidP="00D378B6">
      <w:pPr>
        <w:spacing w:line="480" w:lineRule="auto"/>
        <w:ind w:left="720"/>
        <w:textAlignment w:val="baseline"/>
        <w:rPr>
          <w:rFonts w:ascii="Garamond" w:eastAsia="Tahoma" w:hAnsi="Garamond"/>
          <w:b/>
          <w:color w:val="000000"/>
          <w:spacing w:val="2"/>
          <w:sz w:val="28"/>
          <w:szCs w:val="28"/>
        </w:rPr>
      </w:pPr>
      <w:r w:rsidRPr="001629C8">
        <w:rPr>
          <w:rFonts w:ascii="Garamond" w:eastAsia="Tahoma" w:hAnsi="Garamond"/>
          <w:b/>
          <w:color w:val="000000"/>
          <w:spacing w:val="2"/>
          <w:sz w:val="28"/>
          <w:szCs w:val="28"/>
        </w:rPr>
        <w:lastRenderedPageBreak/>
        <w:t>A. Standard of Review</w:t>
      </w:r>
    </w:p>
    <w:p w:rsidR="000C6EEF" w:rsidRDefault="002267DA" w:rsidP="00D378B6">
      <w:pPr>
        <w:spacing w:line="480" w:lineRule="auto"/>
        <w:ind w:right="72" w:firstLine="720"/>
        <w:textAlignment w:val="baseline"/>
        <w:rPr>
          <w:rFonts w:ascii="Garamond" w:eastAsia="Garamond" w:hAnsi="Garamond"/>
          <w:color w:val="000000"/>
          <w:sz w:val="28"/>
        </w:rPr>
      </w:pPr>
      <w:r>
        <w:rPr>
          <w:rFonts w:ascii="Garamond" w:eastAsia="Garamond" w:hAnsi="Garamond"/>
          <w:color w:val="000000"/>
          <w:sz w:val="28"/>
        </w:rPr>
        <w:t xml:space="preserve">This Court’s reviews the Board’s IPR decisions to ensure that they are not “arbitrary, capricious, an abuse of discretion, . . . otherwise not in accordance with law . . . [or] unsupported by substantial evidence.” 5 U.S.C. § 706(2)(A), (E); </w:t>
      </w:r>
      <w:r>
        <w:rPr>
          <w:rFonts w:ascii="Garamond" w:eastAsia="Garamond" w:hAnsi="Garamond"/>
          <w:i/>
          <w:color w:val="000000"/>
          <w:sz w:val="29"/>
        </w:rPr>
        <w:t>and see Pride Mobility Prods. Corp. v. Permobil, Inc.</w:t>
      </w:r>
      <w:r>
        <w:rPr>
          <w:rFonts w:ascii="Garamond" w:eastAsia="Garamond" w:hAnsi="Garamond"/>
          <w:color w:val="000000"/>
          <w:sz w:val="28"/>
        </w:rPr>
        <w:t xml:space="preserve">, 818 F.3d 1307, 1313 (Fed. Cir. 2016). Conclusions of law are reviewed </w:t>
      </w:r>
      <w:r>
        <w:rPr>
          <w:rFonts w:ascii="Garamond" w:eastAsia="Garamond" w:hAnsi="Garamond"/>
          <w:i/>
          <w:color w:val="000000"/>
          <w:sz w:val="29"/>
        </w:rPr>
        <w:t>de novo, Belkin Int’l, Inc. v. Kappos</w:t>
      </w:r>
      <w:r>
        <w:rPr>
          <w:rFonts w:ascii="Garamond" w:eastAsia="Garamond" w:hAnsi="Garamond"/>
          <w:color w:val="000000"/>
          <w:sz w:val="28"/>
        </w:rPr>
        <w:t xml:space="preserve">, 696 F.3d 1379, 1381 (Fed. Cir. 2012), while findings of fact are reviewed for substantial evidence. </w:t>
      </w:r>
      <w:r>
        <w:rPr>
          <w:rFonts w:ascii="Garamond" w:eastAsia="Garamond" w:hAnsi="Garamond"/>
          <w:i/>
          <w:color w:val="000000"/>
          <w:sz w:val="29"/>
        </w:rPr>
        <w:t>See In re Gartside</w:t>
      </w:r>
      <w:r>
        <w:rPr>
          <w:rFonts w:ascii="Garamond" w:eastAsia="Garamond" w:hAnsi="Garamond"/>
          <w:color w:val="000000"/>
          <w:sz w:val="28"/>
        </w:rPr>
        <w:t xml:space="preserve">, 203 F.3d 1305, 1315-16 (Fed. Cir. 2000). A finding is supported by substantial evidence only if a reasonable mind might accept the evidence to support the finding. </w:t>
      </w:r>
      <w:r>
        <w:rPr>
          <w:rFonts w:ascii="Garamond" w:eastAsia="Garamond" w:hAnsi="Garamond"/>
          <w:i/>
          <w:color w:val="000000"/>
          <w:sz w:val="29"/>
        </w:rPr>
        <w:t>Consol. Edison Co. v. NLRB</w:t>
      </w:r>
      <w:r>
        <w:rPr>
          <w:rFonts w:ascii="Garamond" w:eastAsia="Garamond" w:hAnsi="Garamond"/>
          <w:color w:val="000000"/>
          <w:sz w:val="28"/>
        </w:rPr>
        <w:t>, 305 U.S. 197, 229 (1938).</w:t>
      </w:r>
    </w:p>
    <w:p w:rsidR="000C6EEF" w:rsidRDefault="002267DA" w:rsidP="00D378B6">
      <w:pPr>
        <w:spacing w:line="480" w:lineRule="auto"/>
        <w:ind w:firstLine="720"/>
        <w:textAlignment w:val="baseline"/>
        <w:rPr>
          <w:rFonts w:ascii="Garamond" w:eastAsia="Garamond" w:hAnsi="Garamond"/>
          <w:color w:val="000000"/>
          <w:sz w:val="28"/>
        </w:rPr>
      </w:pPr>
      <w:r>
        <w:rPr>
          <w:rFonts w:ascii="Garamond" w:eastAsia="Garamond" w:hAnsi="Garamond"/>
          <w:color w:val="000000"/>
          <w:sz w:val="28"/>
        </w:rPr>
        <w:t xml:space="preserve">In accordance with the above standards, the Board’s ultimate determination of obviousness is reviewed </w:t>
      </w:r>
      <w:r>
        <w:rPr>
          <w:rFonts w:ascii="Garamond" w:eastAsia="Garamond" w:hAnsi="Garamond"/>
          <w:i/>
          <w:color w:val="000000"/>
          <w:sz w:val="29"/>
        </w:rPr>
        <w:t xml:space="preserve">de novo </w:t>
      </w:r>
      <w:r>
        <w:rPr>
          <w:rFonts w:ascii="Garamond" w:eastAsia="Garamond" w:hAnsi="Garamond"/>
          <w:color w:val="000000"/>
          <w:sz w:val="28"/>
        </w:rPr>
        <w:t xml:space="preserve">with any underlying factual determinations being reviewed for substantial evidence. </w:t>
      </w:r>
      <w:r>
        <w:rPr>
          <w:rFonts w:ascii="Garamond" w:eastAsia="Garamond" w:hAnsi="Garamond"/>
          <w:i/>
          <w:color w:val="000000"/>
          <w:sz w:val="29"/>
        </w:rPr>
        <w:t>Gartside</w:t>
      </w:r>
      <w:r>
        <w:rPr>
          <w:rFonts w:ascii="Garamond" w:eastAsia="Garamond" w:hAnsi="Garamond"/>
          <w:color w:val="000000"/>
          <w:sz w:val="28"/>
        </w:rPr>
        <w:t xml:space="preserve">, 203 F.3d at 1312. These factual determinations include (1) the scope and content of the prior art; (2) the differences between the claims and the prior art; (3) the level of ordinary skill in the art; and (4) objective evidence of nonobviousness. </w:t>
      </w:r>
      <w:r>
        <w:rPr>
          <w:rFonts w:ascii="Garamond" w:eastAsia="Garamond" w:hAnsi="Garamond"/>
          <w:i/>
          <w:color w:val="000000"/>
          <w:sz w:val="29"/>
        </w:rPr>
        <w:t>Graham</w:t>
      </w:r>
      <w:r>
        <w:rPr>
          <w:rFonts w:ascii="Garamond" w:eastAsia="Garamond" w:hAnsi="Garamond"/>
          <w:color w:val="000000"/>
          <w:sz w:val="28"/>
        </w:rPr>
        <w:t xml:space="preserve">, 383 U.S. at 17-18. “[W]hether there is a reason to combine prior art references is [also] a question of fact.” </w:t>
      </w:r>
      <w:r>
        <w:rPr>
          <w:rFonts w:ascii="Garamond" w:eastAsia="Garamond" w:hAnsi="Garamond"/>
          <w:i/>
          <w:color w:val="000000"/>
          <w:sz w:val="29"/>
        </w:rPr>
        <w:t>Kinetic Concepts,</w:t>
      </w:r>
    </w:p>
    <w:p w:rsidR="000C6EEF" w:rsidRDefault="002267DA" w:rsidP="00D378B6">
      <w:pPr>
        <w:spacing w:line="480" w:lineRule="auto"/>
        <w:ind w:right="72"/>
        <w:textAlignment w:val="baseline"/>
        <w:rPr>
          <w:rFonts w:ascii="Garamond" w:eastAsia="Garamond" w:hAnsi="Garamond"/>
          <w:i/>
          <w:color w:val="000000"/>
          <w:sz w:val="29"/>
        </w:rPr>
      </w:pPr>
      <w:r>
        <w:rPr>
          <w:rFonts w:ascii="Garamond" w:eastAsia="Garamond" w:hAnsi="Garamond"/>
          <w:i/>
          <w:color w:val="000000"/>
          <w:sz w:val="29"/>
        </w:rPr>
        <w:t>Inc. v. Smith &amp; Nephew, Inc.</w:t>
      </w:r>
      <w:r>
        <w:rPr>
          <w:rFonts w:ascii="Garamond" w:eastAsia="Garamond" w:hAnsi="Garamond"/>
          <w:color w:val="000000"/>
          <w:sz w:val="28"/>
        </w:rPr>
        <w:t xml:space="preserve">, 688 F.3d 1342, 1367 (Fed. Cir. 2012). On these factual components of the inquiry, the Court must “ask[] ‘whether a reasonable fact finder could have arrived at the agency’s decision,’” which “requires examination of the ‘record as a whole, taking into account evidence that both justifies and detracts from an agency’s decision.’” </w:t>
      </w:r>
      <w:r>
        <w:rPr>
          <w:rFonts w:ascii="Garamond" w:eastAsia="Garamond" w:hAnsi="Garamond"/>
          <w:i/>
          <w:color w:val="000000"/>
          <w:sz w:val="29"/>
        </w:rPr>
        <w:t>Intelligent Bio-Systems, Inc. v. Illumina Cambridge Ltd.</w:t>
      </w:r>
      <w:r>
        <w:rPr>
          <w:rFonts w:ascii="Garamond" w:eastAsia="Garamond" w:hAnsi="Garamond"/>
          <w:color w:val="000000"/>
          <w:sz w:val="28"/>
        </w:rPr>
        <w:t xml:space="preserve">, 821 F.3d 1359, 1366 (Fed. Cir. 2016) (quoting </w:t>
      </w:r>
      <w:r>
        <w:rPr>
          <w:rFonts w:ascii="Garamond" w:eastAsia="Garamond" w:hAnsi="Garamond"/>
          <w:i/>
          <w:color w:val="000000"/>
          <w:sz w:val="29"/>
        </w:rPr>
        <w:t>Gartside</w:t>
      </w:r>
      <w:r>
        <w:rPr>
          <w:rFonts w:ascii="Garamond" w:eastAsia="Garamond" w:hAnsi="Garamond"/>
          <w:color w:val="000000"/>
          <w:sz w:val="28"/>
        </w:rPr>
        <w:t>, 203 F.3d at 1312).</w:t>
      </w:r>
    </w:p>
    <w:p w:rsidR="000C6EEF" w:rsidRDefault="002267DA" w:rsidP="00D378B6">
      <w:pPr>
        <w:spacing w:line="480" w:lineRule="auto"/>
        <w:ind w:right="72" w:firstLine="720"/>
        <w:textAlignment w:val="baseline"/>
        <w:rPr>
          <w:rFonts w:ascii="Garamond" w:eastAsia="Garamond" w:hAnsi="Garamond"/>
          <w:color w:val="000000"/>
          <w:sz w:val="28"/>
        </w:rPr>
      </w:pPr>
      <w:r>
        <w:rPr>
          <w:rFonts w:ascii="Garamond" w:eastAsia="Garamond" w:hAnsi="Garamond"/>
          <w:color w:val="000000"/>
          <w:sz w:val="28"/>
        </w:rPr>
        <w:lastRenderedPageBreak/>
        <w:t xml:space="preserve">Claim constructions by the Board are likewise reviewed in accordance with above standards: underlying factual determinations concerning extrinsic evidence are reviewed for substantial evidence while determinations regarding evidence “intrinsic to the patent” and the ultimate construction of the claim are reviewed </w:t>
      </w:r>
      <w:r>
        <w:rPr>
          <w:rFonts w:ascii="Garamond" w:eastAsia="Garamond" w:hAnsi="Garamond"/>
          <w:i/>
          <w:color w:val="000000"/>
          <w:sz w:val="29"/>
        </w:rPr>
        <w:t>de novo</w:t>
      </w:r>
      <w:r>
        <w:rPr>
          <w:rFonts w:ascii="Garamond" w:eastAsia="Garamond" w:hAnsi="Garamond"/>
          <w:color w:val="000000"/>
          <w:sz w:val="28"/>
        </w:rPr>
        <w:t xml:space="preserve">. </w:t>
      </w:r>
      <w:r>
        <w:rPr>
          <w:rFonts w:ascii="Garamond" w:eastAsia="Garamond" w:hAnsi="Garamond"/>
          <w:i/>
          <w:color w:val="000000"/>
          <w:sz w:val="29"/>
        </w:rPr>
        <w:t xml:space="preserve">Teva Pharmaceuticals U.S.A., Inc. v. Sandoz, Inc., </w:t>
      </w:r>
      <w:r>
        <w:rPr>
          <w:rFonts w:ascii="Garamond" w:eastAsia="Garamond" w:hAnsi="Garamond"/>
          <w:color w:val="000000"/>
          <w:sz w:val="28"/>
        </w:rPr>
        <w:t>135 S. Ct. 831, 841-842 (2015).</w:t>
      </w:r>
    </w:p>
    <w:p w:rsidR="00F93869" w:rsidRPr="008F206C" w:rsidRDefault="002267DA" w:rsidP="00A11EC3">
      <w:pPr>
        <w:spacing w:line="665" w:lineRule="exact"/>
        <w:ind w:right="72" w:firstLine="720"/>
        <w:textAlignment w:val="baseline"/>
        <w:rPr>
          <w:rFonts w:ascii="Garamond" w:eastAsia="Garamond" w:hAnsi="Garamond"/>
          <w:b/>
          <w:color w:val="000000"/>
          <w:sz w:val="28"/>
          <w:szCs w:val="28"/>
        </w:rPr>
      </w:pPr>
      <w:r w:rsidRPr="008F206C">
        <w:rPr>
          <w:rFonts w:ascii="Garamond" w:eastAsia="Tahoma" w:hAnsi="Garamond"/>
          <w:b/>
          <w:color w:val="000000"/>
          <w:spacing w:val="11"/>
          <w:sz w:val="28"/>
          <w:szCs w:val="28"/>
        </w:rPr>
        <w:t>B.</w:t>
      </w:r>
      <w:r w:rsidRPr="008F206C">
        <w:rPr>
          <w:rFonts w:ascii="Garamond" w:eastAsia="Tahoma" w:hAnsi="Garamond"/>
          <w:b/>
          <w:color w:val="000000"/>
          <w:spacing w:val="11"/>
          <w:sz w:val="28"/>
          <w:szCs w:val="28"/>
        </w:rPr>
        <w:tab/>
      </w:r>
      <w:r w:rsidR="00F93869" w:rsidRPr="008F206C">
        <w:rPr>
          <w:rFonts w:ascii="Garamond" w:eastAsia="Garamond" w:hAnsi="Garamond"/>
          <w:b/>
          <w:color w:val="000000"/>
          <w:sz w:val="28"/>
          <w:szCs w:val="28"/>
        </w:rPr>
        <w:t>Dr. Akl’s “Substitution” Argument Fails</w:t>
      </w:r>
    </w:p>
    <w:p w:rsidR="00F93869" w:rsidRDefault="00F93869" w:rsidP="00F93869">
      <w:pPr>
        <w:spacing w:line="665" w:lineRule="exact"/>
        <w:ind w:right="72" w:firstLine="720"/>
        <w:textAlignment w:val="baseline"/>
        <w:rPr>
          <w:rFonts w:ascii="Garamond" w:eastAsia="Garamond" w:hAnsi="Garamond"/>
          <w:color w:val="000000"/>
          <w:sz w:val="28"/>
        </w:rPr>
      </w:pPr>
      <w:r>
        <w:rPr>
          <w:rFonts w:ascii="Garamond" w:eastAsia="Garamond" w:hAnsi="Garamond"/>
          <w:color w:val="000000"/>
          <w:sz w:val="28"/>
        </w:rPr>
        <w:t>The Board’s holding relied almost exclusively on Dr. Akl’s unsupported and uncorroborated testimony that a power line modem could be substituted for the telephone modem of Suh to affect external Internet communications from the modem to a remote site:</w:t>
      </w:r>
    </w:p>
    <w:p w:rsidR="00F93869" w:rsidRDefault="00F93869" w:rsidP="00F93869">
      <w:pPr>
        <w:ind w:left="720" w:right="800" w:firstLine="720"/>
        <w:textAlignment w:val="baseline"/>
        <w:rPr>
          <w:rFonts w:ascii="Garamond" w:eastAsia="Garamond" w:hAnsi="Garamond"/>
          <w:color w:val="000000"/>
          <w:sz w:val="28"/>
        </w:rPr>
      </w:pPr>
      <w:r>
        <w:rPr>
          <w:rFonts w:ascii="Garamond" w:eastAsia="Garamond" w:hAnsi="Garamond"/>
          <w:color w:val="000000"/>
          <w:sz w:val="28"/>
        </w:rPr>
        <w:t>In the email messaging system disclosed in Figure 4 of Suh, the lowest layer discloses an embodiment that uses a telephone modem.  However, a [person having ordinary skill in the art] would have understood that the p</w:t>
      </w:r>
      <w:r w:rsidR="00D378B6">
        <w:rPr>
          <w:rFonts w:ascii="Garamond" w:eastAsia="Garamond" w:hAnsi="Garamond"/>
          <w:color w:val="000000"/>
          <w:sz w:val="28"/>
        </w:rPr>
        <w:t>a</w:t>
      </w:r>
      <w:r>
        <w:rPr>
          <w:rFonts w:ascii="Garamond" w:eastAsia="Garamond" w:hAnsi="Garamond"/>
          <w:color w:val="000000"/>
          <w:sz w:val="28"/>
        </w:rPr>
        <w:t>tentees intended that any of the suggested physical layer communication networks, including a power line communications modem, could be substituted into Figure 4 without altering any other steps of that Figures.  That is, the system would still communicate power measurement data over a TCP/IP connection, but that connection would be carried over a power line rather than a phone line.</w:t>
      </w:r>
    </w:p>
    <w:p w:rsidR="00F93869" w:rsidRDefault="00276319" w:rsidP="00F93869">
      <w:pPr>
        <w:spacing w:line="665" w:lineRule="exact"/>
        <w:ind w:right="72"/>
        <w:textAlignment w:val="baseline"/>
        <w:rPr>
          <w:rFonts w:ascii="Garamond" w:eastAsia="Garamond" w:hAnsi="Garamond"/>
          <w:color w:val="000000"/>
          <w:sz w:val="28"/>
        </w:rPr>
      </w:pPr>
      <w:r w:rsidRPr="00060C1A">
        <w:rPr>
          <w:noProof/>
        </w:rPr>
        <w:drawing>
          <wp:anchor distT="0" distB="0" distL="114300" distR="114300" simplePos="0" relativeHeight="251658247" behindDoc="0" locked="0" layoutInCell="1" allowOverlap="1" wp14:anchorId="09B96E98" wp14:editId="1E7BE48E">
            <wp:simplePos x="0" y="0"/>
            <wp:positionH relativeFrom="page">
              <wp:posOffset>1513609</wp:posOffset>
            </wp:positionH>
            <wp:positionV relativeFrom="paragraph">
              <wp:posOffset>598459</wp:posOffset>
            </wp:positionV>
            <wp:extent cx="4791075" cy="259080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791075" cy="2590800"/>
                    </a:xfrm>
                    <a:prstGeom prst="rect">
                      <a:avLst/>
                    </a:prstGeom>
                  </pic:spPr>
                </pic:pic>
              </a:graphicData>
            </a:graphic>
          </wp:anchor>
        </w:drawing>
      </w:r>
      <w:r w:rsidR="00F93869">
        <w:rPr>
          <w:rFonts w:ascii="Garamond" w:eastAsia="Garamond" w:hAnsi="Garamond"/>
          <w:color w:val="000000"/>
          <w:sz w:val="28"/>
        </w:rPr>
        <w:t>APPX28 (citing Akl Declaration, ¶ 156, APPX 0791).  Figure 4 of Suh is shown below:</w:t>
      </w:r>
    </w:p>
    <w:p w:rsidR="00F93869" w:rsidRDefault="00F93869" w:rsidP="00276319">
      <w:pPr>
        <w:spacing w:line="480" w:lineRule="auto"/>
        <w:ind w:right="72"/>
        <w:textAlignment w:val="baseline"/>
        <w:rPr>
          <w:rFonts w:ascii="Garamond" w:eastAsia="Garamond" w:hAnsi="Garamond"/>
          <w:color w:val="000000"/>
          <w:sz w:val="28"/>
        </w:rPr>
      </w:pPr>
      <w:r>
        <w:rPr>
          <w:rFonts w:ascii="Garamond" w:eastAsia="Garamond" w:hAnsi="Garamond"/>
          <w:color w:val="000000"/>
          <w:sz w:val="28"/>
        </w:rPr>
        <w:lastRenderedPageBreak/>
        <w:t xml:space="preserve">APPX0913.  According to Dr. Akl, the power line modem at the time of the invention would have simply substituted in at (64), and then somehow established a Point-to-Point connection at (110).  Dr. Akl provides no basis for this bald assertion, such as how the power line modem would establish such a connection in a grid that was capable of sending an SMTP email from a random dwelling sending a message.  Rather, Fig. 4 requires the establishment of the dedicated point-to-point connection between the meter and the host.  “Since each client/sender has a telephone number identifying the modem, two-way messages can be sent via the dial-up line 106.”  APPX0918 (Suh, ¶ 38).  In contrast, the ’524 Patent discloses routing technology, which is required for a non-point-to-point connection, such as a power distribution grid:  “the computer 24 contains </w:t>
      </w:r>
      <w:r>
        <w:rPr>
          <w:rFonts w:ascii="Garamond" w:eastAsia="Garamond" w:hAnsi="Garamond"/>
          <w:color w:val="000000"/>
          <w:sz w:val="28"/>
          <w:u w:val="single"/>
        </w:rPr>
        <w:t xml:space="preserve">routing functionality to selectively route and filter the information between a wireless or wired network </w:t>
      </w:r>
      <w:r>
        <w:rPr>
          <w:rFonts w:ascii="Garamond" w:eastAsia="Garamond" w:hAnsi="Garamond"/>
          <w:i/>
          <w:color w:val="000000"/>
          <w:sz w:val="28"/>
          <w:u w:val="single"/>
        </w:rPr>
        <w:t>and the power line</w:t>
      </w:r>
      <w:r>
        <w:rPr>
          <w:rFonts w:ascii="Garamond" w:eastAsia="Garamond" w:hAnsi="Garamond"/>
          <w:color w:val="000000"/>
          <w:sz w:val="28"/>
          <w:u w:val="single"/>
        </w:rPr>
        <w:t>, or between sub-networks on the power line.</w:t>
      </w:r>
      <w:r>
        <w:rPr>
          <w:rFonts w:ascii="Garamond" w:eastAsia="Garamond" w:hAnsi="Garamond"/>
          <w:color w:val="000000"/>
          <w:sz w:val="28"/>
        </w:rPr>
        <w:t xml:space="preserve">” APPX0436 (The ’524 Patent, 4:58-61).  The one-to-one exchange proposed by Dr. Akl fails, because the power line “grid” as the term is used by the Board, is not based on a point-to-point connection, as required by the telephone modem disclosed by Suh.  </w:t>
      </w:r>
      <w:r>
        <w:rPr>
          <w:rFonts w:ascii="Garamond" w:eastAsia="Garamond" w:hAnsi="Garamond"/>
          <w:i/>
          <w:color w:val="000000"/>
          <w:sz w:val="28"/>
        </w:rPr>
        <w:t xml:space="preserve">See </w:t>
      </w:r>
      <w:r>
        <w:rPr>
          <w:rFonts w:ascii="Garamond" w:eastAsia="Garamond" w:hAnsi="Garamond"/>
          <w:color w:val="000000"/>
          <w:sz w:val="28"/>
        </w:rPr>
        <w:t>APPX0021.</w:t>
      </w:r>
    </w:p>
    <w:p w:rsidR="000B26E9" w:rsidRDefault="00A97DAB" w:rsidP="00276319">
      <w:pPr>
        <w:spacing w:line="480" w:lineRule="auto"/>
        <w:ind w:right="72" w:firstLine="720"/>
        <w:textAlignment w:val="baseline"/>
        <w:rPr>
          <w:rFonts w:ascii="Garamond" w:eastAsia="Garamond" w:hAnsi="Garamond"/>
          <w:color w:val="000000"/>
          <w:sz w:val="28"/>
        </w:rPr>
      </w:pPr>
      <w:r>
        <w:rPr>
          <w:rFonts w:ascii="Garamond" w:eastAsia="Garamond" w:hAnsi="Garamond"/>
          <w:color w:val="000000"/>
          <w:sz w:val="28"/>
        </w:rPr>
        <w:t xml:space="preserve">Patent Owner does not dispute that Suh could have included data transmission over </w:t>
      </w:r>
      <w:r>
        <w:rPr>
          <w:rFonts w:ascii="Garamond" w:eastAsia="Garamond" w:hAnsi="Garamond"/>
          <w:i/>
          <w:color w:val="000000"/>
          <w:sz w:val="28"/>
        </w:rPr>
        <w:t>internal</w:t>
      </w:r>
      <w:r>
        <w:rPr>
          <w:rFonts w:ascii="Garamond" w:eastAsia="Garamond" w:hAnsi="Garamond"/>
          <w:color w:val="000000"/>
          <w:sz w:val="28"/>
        </w:rPr>
        <w:t xml:space="preserve"> power lines.  In fact, Suh supports such an </w:t>
      </w:r>
      <w:r>
        <w:rPr>
          <w:rFonts w:ascii="Garamond" w:eastAsia="Garamond" w:hAnsi="Garamond"/>
          <w:i/>
          <w:color w:val="000000"/>
          <w:sz w:val="28"/>
        </w:rPr>
        <w:t>internal</w:t>
      </w:r>
      <w:r>
        <w:rPr>
          <w:rFonts w:ascii="Garamond" w:eastAsia="Garamond" w:hAnsi="Garamond"/>
          <w:color w:val="000000"/>
          <w:sz w:val="28"/>
        </w:rPr>
        <w:t xml:space="preserve"> configuration, which is entirely consistent with Mr. Blackburn’s testimony that the modem of Suh could be a power line modem, albeit connected on the post-meter side </w:t>
      </w:r>
      <w:r w:rsidR="00D378B6">
        <w:rPr>
          <w:rFonts w:ascii="Garamond" w:eastAsia="Garamond" w:hAnsi="Garamond"/>
          <w:color w:val="000000"/>
          <w:sz w:val="28"/>
        </w:rPr>
        <w:t xml:space="preserve">(internal power line) </w:t>
      </w:r>
      <w:r>
        <w:rPr>
          <w:rFonts w:ascii="Garamond" w:eastAsia="Garamond" w:hAnsi="Garamond"/>
          <w:color w:val="000000"/>
          <w:sz w:val="28"/>
        </w:rPr>
        <w:t>of the dwelling.</w:t>
      </w:r>
      <w:r w:rsidR="001629C8">
        <w:rPr>
          <w:rFonts w:ascii="Garamond" w:eastAsia="Garamond" w:hAnsi="Garamond"/>
          <w:color w:val="000000"/>
          <w:sz w:val="28"/>
        </w:rPr>
        <w:t xml:space="preserve">  </w:t>
      </w:r>
      <w:r w:rsidR="00550947">
        <w:rPr>
          <w:rFonts w:ascii="Garamond" w:eastAsia="Garamond" w:hAnsi="Garamond"/>
          <w:color w:val="000000"/>
          <w:sz w:val="28"/>
        </w:rPr>
        <w:t>APPX0027.</w:t>
      </w:r>
    </w:p>
    <w:p w:rsidR="00C428FA" w:rsidRPr="0008048D" w:rsidRDefault="00C428FA" w:rsidP="00276319">
      <w:pPr>
        <w:spacing w:line="480" w:lineRule="auto"/>
        <w:ind w:right="72" w:firstLine="720"/>
        <w:textAlignment w:val="baseline"/>
        <w:rPr>
          <w:rFonts w:ascii="Garamond" w:eastAsia="Garamond" w:hAnsi="Garamond"/>
          <w:color w:val="000000"/>
          <w:sz w:val="28"/>
        </w:rPr>
      </w:pPr>
      <w:r>
        <w:rPr>
          <w:rFonts w:ascii="Garamond" w:eastAsia="Garamond" w:hAnsi="Garamond"/>
          <w:color w:val="000000"/>
          <w:sz w:val="28"/>
        </w:rPr>
        <w:t xml:space="preserve">Specifically, Suh discloses that not only can signals be carried over power line 73, but also that </w:t>
      </w:r>
      <w:r w:rsidR="00675572">
        <w:rPr>
          <w:rFonts w:ascii="Garamond" w:eastAsia="Garamond" w:hAnsi="Garamond"/>
          <w:color w:val="000000"/>
          <w:sz w:val="28"/>
        </w:rPr>
        <w:t xml:space="preserve">Suh’s Fig. 1 shows the power line 24 </w:t>
      </w:r>
      <w:r w:rsidR="002D4B60">
        <w:rPr>
          <w:rFonts w:ascii="Garamond" w:eastAsia="Garamond" w:hAnsi="Garamond"/>
          <w:color w:val="000000"/>
          <w:sz w:val="28"/>
        </w:rPr>
        <w:t xml:space="preserve">is connected to a battery charger </w:t>
      </w:r>
      <w:r w:rsidR="002D4B60">
        <w:rPr>
          <w:rFonts w:ascii="Garamond" w:eastAsia="Garamond" w:hAnsi="Garamond"/>
          <w:color w:val="000000"/>
          <w:sz w:val="28"/>
        </w:rPr>
        <w:lastRenderedPageBreak/>
        <w:t>chip 84</w:t>
      </w:r>
      <w:r w:rsidR="00C163E9">
        <w:rPr>
          <w:rFonts w:ascii="Garamond" w:eastAsia="Garamond" w:hAnsi="Garamond"/>
          <w:color w:val="000000"/>
          <w:sz w:val="28"/>
        </w:rPr>
        <w:t>.  Blackburn then makes the uncontroverted statement that “[a] POSITA would know that you cannot connect current consuming devices to the “pre”-metered external power line network (this would be stealing unmetered power from the utility).  So, this connectio</w:t>
      </w:r>
      <w:r w:rsidR="0025480A">
        <w:rPr>
          <w:rFonts w:ascii="Garamond" w:eastAsia="Garamond" w:hAnsi="Garamond"/>
          <w:color w:val="000000"/>
          <w:sz w:val="28"/>
        </w:rPr>
        <w:t xml:space="preserve">n </w:t>
      </w:r>
      <w:r w:rsidR="00C163E9">
        <w:rPr>
          <w:rFonts w:ascii="Garamond" w:eastAsia="Garamond" w:hAnsi="Garamond"/>
          <w:color w:val="000000"/>
          <w:sz w:val="28"/>
        </w:rPr>
        <w:t>would be made to the “post”-metered existing home electrical wiring (internal powerline) and therefore this communication over power line 73 would not be communicating over an external power line network.”  APPX</w:t>
      </w:r>
      <w:r w:rsidR="0025480A">
        <w:rPr>
          <w:rFonts w:ascii="Garamond" w:eastAsia="Garamond" w:hAnsi="Garamond"/>
          <w:color w:val="000000"/>
          <w:sz w:val="28"/>
        </w:rPr>
        <w:t xml:space="preserve">1228 (Blackburn Decl. ¶51). </w:t>
      </w:r>
      <w:r w:rsidR="00A550F2">
        <w:rPr>
          <w:rFonts w:ascii="Garamond" w:eastAsia="Garamond" w:hAnsi="Garamond"/>
          <w:color w:val="000000"/>
          <w:sz w:val="28"/>
        </w:rPr>
        <w:t xml:space="preserve"> This power line 24</w:t>
      </w:r>
      <w:r w:rsidR="0008048D">
        <w:rPr>
          <w:rFonts w:ascii="Garamond" w:eastAsia="Garamond" w:hAnsi="Garamond"/>
          <w:color w:val="000000"/>
          <w:sz w:val="28"/>
        </w:rPr>
        <w:t xml:space="preserve"> with conducting wires 73 is precisely the disclosure in Suh that the Board seized upon in declaring that Suh disclosed transmission over an </w:t>
      </w:r>
      <w:r w:rsidR="0008048D">
        <w:rPr>
          <w:rFonts w:ascii="Garamond" w:eastAsia="Garamond" w:hAnsi="Garamond"/>
          <w:i/>
          <w:color w:val="000000"/>
          <w:sz w:val="28"/>
        </w:rPr>
        <w:t>external</w:t>
      </w:r>
      <w:r w:rsidR="0008048D">
        <w:rPr>
          <w:rFonts w:ascii="Garamond" w:eastAsia="Garamond" w:hAnsi="Garamond"/>
          <w:color w:val="000000"/>
          <w:sz w:val="28"/>
        </w:rPr>
        <w:t xml:space="preserve"> power line.  </w:t>
      </w:r>
    </w:p>
    <w:p w:rsidR="008F206C" w:rsidRDefault="0008048D" w:rsidP="00276319">
      <w:pPr>
        <w:spacing w:line="480" w:lineRule="auto"/>
        <w:ind w:right="72" w:firstLine="720"/>
        <w:textAlignment w:val="baseline"/>
        <w:rPr>
          <w:rFonts w:ascii="Garamond" w:eastAsia="Garamond" w:hAnsi="Garamond"/>
          <w:color w:val="000000"/>
          <w:sz w:val="28"/>
        </w:rPr>
      </w:pPr>
      <w:r>
        <w:rPr>
          <w:rFonts w:ascii="Garamond" w:eastAsia="Garamond" w:hAnsi="Garamond"/>
          <w:color w:val="000000"/>
          <w:sz w:val="28"/>
        </w:rPr>
        <w:t xml:space="preserve">Suh’s complete disclosure, together with the uncontroverted testimony of Mr. Blackburn, teaches, at best, an internal power line communication to a modem, that then makes a point-to-point connection to the host ISP.  See </w:t>
      </w:r>
      <w:r w:rsidR="00AD58D6">
        <w:rPr>
          <w:rFonts w:ascii="Garamond" w:eastAsia="Garamond" w:hAnsi="Garamond"/>
          <w:color w:val="000000"/>
          <w:sz w:val="28"/>
        </w:rPr>
        <w:t xml:space="preserve">§ </w:t>
      </w:r>
      <w:r w:rsidR="00594E41">
        <w:rPr>
          <w:rFonts w:ascii="Garamond" w:eastAsia="Garamond" w:hAnsi="Garamond"/>
          <w:color w:val="000000"/>
          <w:sz w:val="28"/>
        </w:rPr>
        <w:t xml:space="preserve">VI.B., </w:t>
      </w:r>
      <w:r w:rsidR="00594E41">
        <w:rPr>
          <w:rFonts w:ascii="Garamond" w:eastAsia="Garamond" w:hAnsi="Garamond"/>
          <w:i/>
          <w:color w:val="000000"/>
          <w:sz w:val="28"/>
        </w:rPr>
        <w:t>supra</w:t>
      </w:r>
      <w:r w:rsidR="00594E41">
        <w:rPr>
          <w:rFonts w:ascii="Garamond" w:eastAsia="Garamond" w:hAnsi="Garamond"/>
          <w:color w:val="000000"/>
          <w:sz w:val="28"/>
        </w:rPr>
        <w:t>.</w:t>
      </w:r>
      <w:r w:rsidR="00594E41">
        <w:rPr>
          <w:rFonts w:ascii="Garamond" w:eastAsia="Garamond" w:hAnsi="Garamond"/>
          <w:i/>
          <w:color w:val="000000"/>
          <w:sz w:val="28"/>
        </w:rPr>
        <w:t xml:space="preserve"> </w:t>
      </w:r>
      <w:r w:rsidR="008F206C">
        <w:rPr>
          <w:rFonts w:ascii="Garamond" w:eastAsia="Garamond" w:hAnsi="Garamond"/>
          <w:color w:val="000000"/>
          <w:sz w:val="28"/>
        </w:rPr>
        <w:t>To support its decision, however, the Board inexplicably adds “so that,” and “[that can be]” to the disclosure of Suh, supplying without any prompt the very teaching that Suh is lacking:</w:t>
      </w:r>
    </w:p>
    <w:p w:rsidR="008F206C" w:rsidRDefault="008F206C" w:rsidP="00276319">
      <w:pPr>
        <w:spacing w:line="480" w:lineRule="auto"/>
        <w:ind w:right="72" w:firstLine="720"/>
        <w:textAlignment w:val="baseline"/>
        <w:rPr>
          <w:rFonts w:ascii="Garamond" w:eastAsia="Garamond" w:hAnsi="Garamond"/>
          <w:color w:val="000000"/>
          <w:sz w:val="28"/>
        </w:rPr>
      </w:pPr>
      <w:r w:rsidRPr="008F206C">
        <w:rPr>
          <w:rFonts w:ascii="Garamond" w:eastAsia="Garamond" w:hAnsi="Garamond"/>
          <w:noProof/>
          <w:color w:val="000000"/>
          <w:sz w:val="28"/>
        </w:rPr>
        <w:lastRenderedPageBreak/>
        <w:drawing>
          <wp:inline distT="0" distB="0" distL="0" distR="0" wp14:anchorId="6E5D8A90" wp14:editId="7605708C">
            <wp:extent cx="4822649" cy="3466229"/>
            <wp:effectExtent l="0" t="0" r="0" b="0"/>
            <wp:docPr id="2" name="Picture 2" descr="C:\Users\DAC\AppData\Local\Temp\SNAGHTML488d54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C\AppData\Local\Temp\SNAGHTML488d54f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974" cy="3471494"/>
                    </a:xfrm>
                    <a:prstGeom prst="rect">
                      <a:avLst/>
                    </a:prstGeom>
                    <a:noFill/>
                    <a:ln>
                      <a:noFill/>
                    </a:ln>
                  </pic:spPr>
                </pic:pic>
              </a:graphicData>
            </a:graphic>
          </wp:inline>
        </w:drawing>
      </w:r>
    </w:p>
    <w:p w:rsidR="008F206C" w:rsidRDefault="00D76CE5" w:rsidP="008F206C">
      <w:pPr>
        <w:spacing w:line="480" w:lineRule="auto"/>
        <w:ind w:right="72"/>
        <w:textAlignment w:val="baseline"/>
        <w:rPr>
          <w:rFonts w:ascii="Garamond" w:eastAsia="Garamond" w:hAnsi="Garamond"/>
          <w:color w:val="000000"/>
          <w:sz w:val="28"/>
        </w:rPr>
      </w:pPr>
      <w:r>
        <w:rPr>
          <w:noProof/>
        </w:rPr>
        <w:drawing>
          <wp:anchor distT="0" distB="0" distL="114300" distR="114300" simplePos="0" relativeHeight="251660295" behindDoc="0" locked="0" layoutInCell="1" allowOverlap="1" wp14:anchorId="0DA59E2A" wp14:editId="40DE4376">
            <wp:simplePos x="0" y="0"/>
            <wp:positionH relativeFrom="column">
              <wp:posOffset>850604</wp:posOffset>
            </wp:positionH>
            <wp:positionV relativeFrom="paragraph">
              <wp:posOffset>724860</wp:posOffset>
            </wp:positionV>
            <wp:extent cx="3905451" cy="2165461"/>
            <wp:effectExtent l="0" t="0" r="0" b="63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05451" cy="2165461"/>
                    </a:xfrm>
                    <a:prstGeom prst="rect">
                      <a:avLst/>
                    </a:prstGeom>
                  </pic:spPr>
                </pic:pic>
              </a:graphicData>
            </a:graphic>
          </wp:anchor>
        </w:drawing>
      </w:r>
      <w:r w:rsidR="008F206C">
        <w:rPr>
          <w:rFonts w:ascii="Garamond" w:eastAsia="Garamond" w:hAnsi="Garamond"/>
          <w:color w:val="000000"/>
          <w:sz w:val="28"/>
        </w:rPr>
        <w:t>APPX0025-0026</w:t>
      </w:r>
      <w:r>
        <w:rPr>
          <w:rFonts w:ascii="Garamond" w:eastAsia="Garamond" w:hAnsi="Garamond"/>
          <w:color w:val="000000"/>
          <w:sz w:val="28"/>
        </w:rPr>
        <w:t>.  But Suh does not include the “that can be” or “so that” language supplied by the Board:</w:t>
      </w:r>
    </w:p>
    <w:p w:rsidR="00D76CE5" w:rsidRDefault="00D76CE5" w:rsidP="008F206C">
      <w:pPr>
        <w:spacing w:line="480" w:lineRule="auto"/>
        <w:ind w:right="72"/>
        <w:textAlignment w:val="baseline"/>
        <w:rPr>
          <w:rFonts w:ascii="Garamond" w:eastAsia="Garamond" w:hAnsi="Garamond"/>
          <w:color w:val="000000"/>
          <w:sz w:val="28"/>
        </w:rPr>
      </w:pPr>
    </w:p>
    <w:p w:rsidR="00D76CE5" w:rsidRDefault="00D76CE5" w:rsidP="008F206C">
      <w:pPr>
        <w:spacing w:line="480" w:lineRule="auto"/>
        <w:ind w:right="72"/>
        <w:textAlignment w:val="baseline"/>
        <w:rPr>
          <w:rFonts w:ascii="Garamond" w:eastAsia="Garamond" w:hAnsi="Garamond"/>
          <w:color w:val="000000"/>
          <w:sz w:val="28"/>
        </w:rPr>
      </w:pPr>
      <w:r>
        <w:rPr>
          <w:rFonts w:ascii="Garamond" w:eastAsia="Garamond" w:hAnsi="Garamond"/>
          <w:color w:val="000000"/>
          <w:sz w:val="28"/>
        </w:rPr>
        <w:t>APPX947 (Suh, ¶ 30).</w:t>
      </w:r>
    </w:p>
    <w:p w:rsidR="00A550F2" w:rsidRPr="00A97DAB" w:rsidRDefault="00A550F2" w:rsidP="00276319">
      <w:pPr>
        <w:spacing w:line="480" w:lineRule="auto"/>
        <w:ind w:right="72" w:firstLine="720"/>
        <w:textAlignment w:val="baseline"/>
        <w:rPr>
          <w:rFonts w:ascii="Garamond" w:eastAsia="Garamond" w:hAnsi="Garamond"/>
          <w:color w:val="000000"/>
          <w:sz w:val="28"/>
        </w:rPr>
      </w:pPr>
      <w:r>
        <w:rPr>
          <w:rFonts w:ascii="Garamond" w:eastAsia="Garamond" w:hAnsi="Garamond"/>
          <w:color w:val="000000"/>
          <w:sz w:val="28"/>
        </w:rPr>
        <w:t>Thus, while signals may be directed to a power line modem on the internal side of the dwelling, there is no disclosure by Suh that any such modem can use “developed data transmission overlay technologies” to route communications from the modem over the external power lines to a destination.</w:t>
      </w:r>
      <w:r w:rsidR="00BB2BFE">
        <w:rPr>
          <w:rFonts w:ascii="Garamond" w:eastAsia="Garamond" w:hAnsi="Garamond"/>
          <w:color w:val="000000"/>
          <w:sz w:val="28"/>
        </w:rPr>
        <w:t xml:space="preserve">  </w:t>
      </w:r>
      <w:r w:rsidR="00307626">
        <w:rPr>
          <w:rFonts w:ascii="Garamond" w:eastAsia="Garamond" w:hAnsi="Garamond"/>
          <w:color w:val="000000"/>
          <w:sz w:val="28"/>
        </w:rPr>
        <w:t xml:space="preserve"> </w:t>
      </w:r>
    </w:p>
    <w:p w:rsidR="00F93869" w:rsidRDefault="00C34C24" w:rsidP="00276319">
      <w:pPr>
        <w:spacing w:after="240"/>
        <w:ind w:right="72"/>
        <w:textAlignment w:val="baseline"/>
        <w:rPr>
          <w:rFonts w:ascii="Garamond" w:eastAsia="Garamond" w:hAnsi="Garamond"/>
          <w:b/>
          <w:color w:val="000000"/>
          <w:sz w:val="28"/>
        </w:rPr>
      </w:pPr>
      <w:r>
        <w:rPr>
          <w:rFonts w:ascii="Garamond" w:eastAsia="Garamond" w:hAnsi="Garamond"/>
          <w:b/>
          <w:color w:val="000000"/>
          <w:sz w:val="28"/>
        </w:rPr>
        <w:lastRenderedPageBreak/>
        <w:t>C.</w:t>
      </w:r>
      <w:r>
        <w:rPr>
          <w:rFonts w:ascii="Garamond" w:eastAsia="Garamond" w:hAnsi="Garamond"/>
          <w:b/>
          <w:color w:val="000000"/>
          <w:sz w:val="28"/>
        </w:rPr>
        <w:tab/>
      </w:r>
      <w:r w:rsidR="002A53EE">
        <w:rPr>
          <w:rFonts w:ascii="Garamond" w:eastAsia="Garamond" w:hAnsi="Garamond"/>
          <w:b/>
          <w:color w:val="000000"/>
          <w:sz w:val="28"/>
        </w:rPr>
        <w:t>The Board’s Reliance on HomePlug and X.10 as “Developed Data Transmission Overlay Technologies” is Misplaced.</w:t>
      </w:r>
    </w:p>
    <w:p w:rsidR="002A53EE" w:rsidRDefault="00280C4E" w:rsidP="00276319">
      <w:pPr>
        <w:spacing w:line="480" w:lineRule="auto"/>
        <w:ind w:right="72" w:firstLine="720"/>
        <w:textAlignment w:val="baseline"/>
        <w:rPr>
          <w:rFonts w:ascii="Garamond" w:eastAsia="Garamond" w:hAnsi="Garamond"/>
          <w:color w:val="000000"/>
          <w:sz w:val="28"/>
        </w:rPr>
      </w:pPr>
      <w:r>
        <w:rPr>
          <w:rFonts w:ascii="Garamond" w:eastAsia="Garamond" w:hAnsi="Garamond"/>
          <w:color w:val="000000"/>
          <w:sz w:val="28"/>
        </w:rPr>
        <w:t xml:space="preserve">The Board, in an effort to discount Patent Owner’s argument that Developed Data Transmission Overlay Technologies “DDTOT” suitable for </w:t>
      </w:r>
      <w:r w:rsidR="00427D73">
        <w:rPr>
          <w:rFonts w:ascii="Garamond" w:eastAsia="Garamond" w:hAnsi="Garamond"/>
          <w:color w:val="000000"/>
          <w:sz w:val="28"/>
        </w:rPr>
        <w:t xml:space="preserve">“transmitting </w:t>
      </w:r>
      <w:r w:rsidR="00585A97">
        <w:rPr>
          <w:rFonts w:ascii="Garamond" w:eastAsia="Garamond" w:hAnsi="Garamond"/>
          <w:color w:val="000000"/>
          <w:sz w:val="28"/>
        </w:rPr>
        <w:t>[</w:t>
      </w:r>
      <w:r w:rsidR="00246E00">
        <w:rPr>
          <w:rFonts w:ascii="Garamond" w:eastAsia="Garamond" w:hAnsi="Garamond"/>
          <w:color w:val="000000"/>
          <w:sz w:val="28"/>
        </w:rPr>
        <w:t>IP-based consumption information</w:t>
      </w:r>
      <w:r w:rsidR="00585A97">
        <w:rPr>
          <w:rFonts w:ascii="Garamond" w:eastAsia="Garamond" w:hAnsi="Garamond"/>
          <w:color w:val="000000"/>
          <w:sz w:val="28"/>
        </w:rPr>
        <w:t xml:space="preserve">] </w:t>
      </w:r>
      <w:r w:rsidR="00427D73">
        <w:rPr>
          <w:rFonts w:ascii="Garamond" w:eastAsia="Garamond" w:hAnsi="Garamond"/>
          <w:color w:val="000000"/>
          <w:sz w:val="28"/>
        </w:rPr>
        <w:t>autonomously in IP format over an external power line network</w:t>
      </w:r>
      <w:r w:rsidR="00585A97">
        <w:rPr>
          <w:rFonts w:ascii="Garamond" w:eastAsia="Garamond" w:hAnsi="Garamond"/>
          <w:color w:val="000000"/>
          <w:sz w:val="28"/>
        </w:rPr>
        <w:t xml:space="preserve">,” </w:t>
      </w:r>
      <w:r w:rsidR="0045327D">
        <w:rPr>
          <w:rFonts w:ascii="Garamond" w:eastAsia="Garamond" w:hAnsi="Garamond"/>
          <w:color w:val="000000"/>
          <w:sz w:val="28"/>
        </w:rPr>
        <w:t xml:space="preserve">states that Patent Owner’s argument is erroneous, because HomePlug was known prior to the application of the ’524 patent.  While true, the Board’s rationale is not sound.  DDTOT was disclosed by Suh, not the ’524 Patent, so it would have had to exist at the time of Suh’s filing to support its enablement.  </w:t>
      </w:r>
    </w:p>
    <w:p w:rsidR="00BA02DD" w:rsidRDefault="00BA02DD" w:rsidP="00276319">
      <w:pPr>
        <w:spacing w:line="480" w:lineRule="auto"/>
        <w:ind w:right="72" w:firstLine="720"/>
        <w:textAlignment w:val="baseline"/>
        <w:rPr>
          <w:rFonts w:ascii="Garamond" w:eastAsia="Garamond" w:hAnsi="Garamond"/>
          <w:color w:val="000000"/>
          <w:sz w:val="28"/>
        </w:rPr>
      </w:pPr>
      <w:r>
        <w:rPr>
          <w:rFonts w:ascii="Garamond" w:eastAsia="Garamond" w:hAnsi="Garamond"/>
          <w:color w:val="000000"/>
          <w:sz w:val="28"/>
        </w:rPr>
        <w:t xml:space="preserve">Yet when asked specifically if, “[o]ther than what’s disclosed in the ’524 patent, are you aware of any use of home plug or X10 on an external power line?”, Dr. Akl stated that “[t]he information disclosed in the 524 patent is consistent with what one of ordinary skill in the art would know about the X10 and the home plug and is consistent with my knowledge of those protocols.”  </w:t>
      </w:r>
      <w:r w:rsidR="00094FEF">
        <w:rPr>
          <w:rFonts w:ascii="Garamond" w:eastAsia="Garamond" w:hAnsi="Garamond"/>
          <w:color w:val="000000"/>
          <w:sz w:val="28"/>
        </w:rPr>
        <w:t>APPX</w:t>
      </w:r>
      <w:r w:rsidR="00B73AED">
        <w:rPr>
          <w:rFonts w:ascii="Garamond" w:eastAsia="Garamond" w:hAnsi="Garamond"/>
          <w:color w:val="000000"/>
          <w:sz w:val="28"/>
        </w:rPr>
        <w:t>1340-1341</w:t>
      </w:r>
      <w:r w:rsidR="00F70A63">
        <w:rPr>
          <w:rFonts w:ascii="Garamond" w:eastAsia="Garamond" w:hAnsi="Garamond"/>
          <w:color w:val="000000"/>
          <w:sz w:val="28"/>
        </w:rPr>
        <w:t xml:space="preserve">.  In other words, despite Suh predating HomePlug, Dr. Akl was not able to provide </w:t>
      </w:r>
      <w:r w:rsidR="00F70A63">
        <w:rPr>
          <w:rFonts w:ascii="Garamond" w:eastAsia="Garamond" w:hAnsi="Garamond"/>
          <w:i/>
          <w:color w:val="000000"/>
          <w:sz w:val="28"/>
        </w:rPr>
        <w:t>any</w:t>
      </w:r>
      <w:r w:rsidR="00F70A63">
        <w:rPr>
          <w:rFonts w:ascii="Garamond" w:eastAsia="Garamond" w:hAnsi="Garamond"/>
          <w:color w:val="000000"/>
          <w:sz w:val="28"/>
        </w:rPr>
        <w:t xml:space="preserve"> </w:t>
      </w:r>
      <w:r w:rsidR="00BB2F7B">
        <w:rPr>
          <w:rFonts w:ascii="Garamond" w:eastAsia="Garamond" w:hAnsi="Garamond"/>
          <w:color w:val="000000"/>
          <w:sz w:val="28"/>
        </w:rPr>
        <w:t xml:space="preserve">example of HomePlug or X10 being used on an external power line.  </w:t>
      </w:r>
    </w:p>
    <w:p w:rsidR="00BB2F7B" w:rsidRPr="005F3104" w:rsidRDefault="00D76CE5" w:rsidP="00276319">
      <w:pPr>
        <w:spacing w:line="480" w:lineRule="auto"/>
        <w:ind w:right="72" w:firstLine="720"/>
        <w:textAlignment w:val="baseline"/>
        <w:rPr>
          <w:rFonts w:ascii="Garamond" w:eastAsia="Garamond" w:hAnsi="Garamond"/>
          <w:color w:val="000000"/>
          <w:sz w:val="28"/>
        </w:rPr>
      </w:pPr>
      <w:r>
        <w:rPr>
          <w:rFonts w:ascii="Garamond" w:eastAsia="Garamond" w:hAnsi="Garamond"/>
          <w:color w:val="000000"/>
          <w:sz w:val="28"/>
        </w:rPr>
        <w:t>Yet the Board unsurprisingly ignored this testimony in Patent Owner’s favor</w:t>
      </w:r>
      <w:r w:rsidR="00BB2F7B">
        <w:rPr>
          <w:rFonts w:ascii="Garamond" w:eastAsia="Garamond" w:hAnsi="Garamond"/>
          <w:color w:val="000000"/>
          <w:sz w:val="28"/>
        </w:rPr>
        <w:t xml:space="preserve">.  </w:t>
      </w:r>
      <w:r w:rsidR="00E26E09">
        <w:rPr>
          <w:rFonts w:ascii="Garamond" w:eastAsia="Garamond" w:hAnsi="Garamond"/>
          <w:color w:val="000000"/>
          <w:sz w:val="28"/>
        </w:rPr>
        <w:t xml:space="preserve">The Board’s opinion makes clear that it </w:t>
      </w:r>
      <w:r w:rsidR="00EF2C30">
        <w:rPr>
          <w:rFonts w:ascii="Garamond" w:eastAsia="Garamond" w:hAnsi="Garamond"/>
          <w:color w:val="000000"/>
          <w:sz w:val="28"/>
        </w:rPr>
        <w:t>had shifted the burden to the Patent Owner to prove that</w:t>
      </w:r>
      <w:r w:rsidR="00E26E09">
        <w:rPr>
          <w:rFonts w:ascii="Garamond" w:eastAsia="Garamond" w:hAnsi="Garamond"/>
          <w:color w:val="000000"/>
          <w:sz w:val="28"/>
        </w:rPr>
        <w:t xml:space="preserve"> HomePlug and X.10 </w:t>
      </w:r>
      <w:r w:rsidR="000C30DE">
        <w:rPr>
          <w:rFonts w:ascii="Garamond" w:eastAsia="Garamond" w:hAnsi="Garamond"/>
          <w:color w:val="000000"/>
          <w:sz w:val="28"/>
        </w:rPr>
        <w:t>had not ever been used</w:t>
      </w:r>
      <w:r w:rsidR="00E26E09">
        <w:rPr>
          <w:rFonts w:ascii="Garamond" w:eastAsia="Garamond" w:hAnsi="Garamond"/>
          <w:color w:val="000000"/>
          <w:sz w:val="28"/>
        </w:rPr>
        <w:t xml:space="preserve"> on external power lines</w:t>
      </w:r>
      <w:r w:rsidR="00BA1258">
        <w:rPr>
          <w:rFonts w:ascii="Garamond" w:eastAsia="Garamond" w:hAnsi="Garamond"/>
          <w:color w:val="000000"/>
          <w:sz w:val="28"/>
        </w:rPr>
        <w:t xml:space="preserve">.  </w:t>
      </w:r>
      <w:r w:rsidR="00E26E09">
        <w:rPr>
          <w:rFonts w:ascii="Garamond" w:eastAsia="Garamond" w:hAnsi="Garamond"/>
          <w:color w:val="000000"/>
          <w:sz w:val="28"/>
        </w:rPr>
        <w:t>APPX</w:t>
      </w:r>
      <w:r w:rsidR="008147BD">
        <w:rPr>
          <w:rFonts w:ascii="Garamond" w:eastAsia="Garamond" w:hAnsi="Garamond"/>
          <w:color w:val="000000"/>
          <w:sz w:val="28"/>
        </w:rPr>
        <w:t>0038</w:t>
      </w:r>
      <w:r w:rsidR="000C30DE">
        <w:rPr>
          <w:rFonts w:ascii="Garamond" w:eastAsia="Garamond" w:hAnsi="Garamond"/>
          <w:color w:val="000000"/>
          <w:sz w:val="28"/>
        </w:rPr>
        <w:t xml:space="preserve"> (“This testimony does not indicate that it was </w:t>
      </w:r>
      <w:r>
        <w:rPr>
          <w:rFonts w:ascii="Garamond" w:eastAsia="Garamond" w:hAnsi="Garamond"/>
          <w:i/>
          <w:color w:val="000000"/>
          <w:sz w:val="28"/>
        </w:rPr>
        <w:t>unkno</w:t>
      </w:r>
      <w:r w:rsidR="000C30DE">
        <w:rPr>
          <w:rFonts w:ascii="Garamond" w:eastAsia="Garamond" w:hAnsi="Garamond"/>
          <w:i/>
          <w:color w:val="000000"/>
          <w:sz w:val="28"/>
        </w:rPr>
        <w:t>w</w:t>
      </w:r>
      <w:r>
        <w:rPr>
          <w:rFonts w:ascii="Garamond" w:eastAsia="Garamond" w:hAnsi="Garamond"/>
          <w:i/>
          <w:color w:val="000000"/>
          <w:sz w:val="28"/>
        </w:rPr>
        <w:t>n</w:t>
      </w:r>
      <w:r w:rsidR="000C30DE">
        <w:rPr>
          <w:rFonts w:ascii="Garamond" w:eastAsia="Garamond" w:hAnsi="Garamond"/>
          <w:i/>
          <w:color w:val="000000"/>
          <w:sz w:val="28"/>
        </w:rPr>
        <w:t xml:space="preserve"> to use HomePlug</w:t>
      </w:r>
      <w:r w:rsidR="000C30DE">
        <w:rPr>
          <w:rFonts w:ascii="Garamond" w:eastAsia="Garamond" w:hAnsi="Garamond"/>
          <w:color w:val="000000"/>
          <w:sz w:val="28"/>
        </w:rPr>
        <w:t xml:space="preserve"> to communicate on an external power line network before the ’524 Patent.”) (emphasis added).  </w:t>
      </w:r>
      <w:r>
        <w:rPr>
          <w:rFonts w:ascii="Garamond" w:eastAsia="Garamond" w:hAnsi="Garamond"/>
          <w:color w:val="000000"/>
          <w:sz w:val="28"/>
        </w:rPr>
        <w:t>Yet the Board cites no authority that shifts the burden to the Patent Owner to prove this negative proposition</w:t>
      </w:r>
      <w:r w:rsidR="000C30DE">
        <w:rPr>
          <w:rFonts w:ascii="Garamond" w:eastAsia="Garamond" w:hAnsi="Garamond"/>
          <w:color w:val="000000"/>
          <w:sz w:val="28"/>
        </w:rPr>
        <w:t xml:space="preserve">.  </w:t>
      </w:r>
      <w:r w:rsidR="003A53FE">
        <w:rPr>
          <w:rFonts w:ascii="Garamond" w:eastAsia="Garamond" w:hAnsi="Garamond"/>
          <w:color w:val="000000"/>
          <w:sz w:val="28"/>
        </w:rPr>
        <w:t xml:space="preserve">The question asked was very simple – was Petitioner’s expert aware of </w:t>
      </w:r>
      <w:r w:rsidR="003A53FE">
        <w:rPr>
          <w:rFonts w:ascii="Garamond" w:eastAsia="Garamond" w:hAnsi="Garamond"/>
          <w:i/>
          <w:color w:val="000000"/>
          <w:sz w:val="28"/>
        </w:rPr>
        <w:t>any use</w:t>
      </w:r>
      <w:r w:rsidR="003A53FE">
        <w:rPr>
          <w:rFonts w:ascii="Garamond" w:eastAsia="Garamond" w:hAnsi="Garamond"/>
          <w:color w:val="000000"/>
          <w:sz w:val="28"/>
        </w:rPr>
        <w:t xml:space="preserve"> of X.10 or HomePlug on an external power line </w:t>
      </w:r>
      <w:r w:rsidR="003A53FE">
        <w:rPr>
          <w:rFonts w:ascii="Garamond" w:eastAsia="Garamond" w:hAnsi="Garamond"/>
          <w:color w:val="000000"/>
          <w:sz w:val="28"/>
        </w:rPr>
        <w:lastRenderedPageBreak/>
        <w:t xml:space="preserve">network.  Dr. Akl </w:t>
      </w:r>
      <w:r>
        <w:rPr>
          <w:rFonts w:ascii="Garamond" w:eastAsia="Garamond" w:hAnsi="Garamond"/>
          <w:color w:val="000000"/>
          <w:sz w:val="28"/>
        </w:rPr>
        <w:t>could not provide any</w:t>
      </w:r>
      <w:r w:rsidR="003A53FE">
        <w:rPr>
          <w:rFonts w:ascii="Garamond" w:eastAsia="Garamond" w:hAnsi="Garamond"/>
          <w:color w:val="000000"/>
          <w:sz w:val="28"/>
        </w:rPr>
        <w:t xml:space="preserve"> example</w:t>
      </w:r>
      <w:r>
        <w:rPr>
          <w:rFonts w:ascii="Garamond" w:eastAsia="Garamond" w:hAnsi="Garamond"/>
          <w:color w:val="000000"/>
          <w:sz w:val="28"/>
        </w:rPr>
        <w:t xml:space="preserve"> of any use of any protocol over an external power line network,</w:t>
      </w:r>
      <w:r w:rsidR="003A53FE">
        <w:rPr>
          <w:rFonts w:ascii="Garamond" w:eastAsia="Garamond" w:hAnsi="Garamond"/>
          <w:color w:val="000000"/>
          <w:sz w:val="28"/>
        </w:rPr>
        <w:t xml:space="preserve"> save for the ’524 patent itself, yet the Board </w:t>
      </w:r>
      <w:r w:rsidR="00BC7EE2">
        <w:rPr>
          <w:rFonts w:ascii="Garamond" w:eastAsia="Garamond" w:hAnsi="Garamond"/>
          <w:color w:val="000000"/>
          <w:sz w:val="28"/>
        </w:rPr>
        <w:t>found it appropriate to credit Dr. Akl’s testimony—with no corroboration as to what one of ordinary skill at the time of the invention would or could have known about external power line communication protocols</w:t>
      </w:r>
      <w:r w:rsidR="00D4775B">
        <w:rPr>
          <w:rFonts w:ascii="Garamond" w:eastAsia="Garamond" w:hAnsi="Garamond"/>
          <w:color w:val="000000"/>
          <w:sz w:val="28"/>
        </w:rPr>
        <w:t xml:space="preserve">—as supporting Petitioner’s opinion.  </w:t>
      </w:r>
      <w:r w:rsidR="00C72122">
        <w:rPr>
          <w:rFonts w:ascii="Garamond" w:eastAsia="Garamond" w:hAnsi="Garamond"/>
          <w:color w:val="000000"/>
          <w:sz w:val="28"/>
        </w:rPr>
        <w:t xml:space="preserve">This acceptance is in stark contrast to the Board’s treatment of Mr. Blackburn’s testimony with respect to </w:t>
      </w:r>
      <w:r w:rsidR="00D533E0">
        <w:rPr>
          <w:rFonts w:ascii="Garamond" w:eastAsia="Garamond" w:hAnsi="Garamond"/>
          <w:color w:val="000000"/>
          <w:sz w:val="28"/>
        </w:rPr>
        <w:t xml:space="preserve">his discussion of </w:t>
      </w:r>
      <w:r w:rsidR="00535F26">
        <w:rPr>
          <w:rFonts w:ascii="Garamond" w:eastAsia="Garamond" w:hAnsi="Garamond"/>
          <w:color w:val="000000"/>
          <w:sz w:val="28"/>
        </w:rPr>
        <w:t>masks and encryption.  APPX</w:t>
      </w:r>
      <w:r w:rsidR="00905D5C">
        <w:rPr>
          <w:rFonts w:ascii="Garamond" w:eastAsia="Garamond" w:hAnsi="Garamond"/>
          <w:color w:val="000000"/>
          <w:sz w:val="28"/>
        </w:rPr>
        <w:t xml:space="preserve">0037.  </w:t>
      </w:r>
      <w:r>
        <w:rPr>
          <w:rFonts w:ascii="Garamond" w:eastAsia="Garamond" w:hAnsi="Garamond"/>
          <w:color w:val="000000"/>
          <w:sz w:val="28"/>
        </w:rPr>
        <w:t xml:space="preserve">This is especially surprising given Mr. Blackburn’s specific experience deigning “smart meters.”  APPX1247 (Blackburn Decl., ¶ 5).  </w:t>
      </w:r>
      <w:r w:rsidR="00905D5C">
        <w:rPr>
          <w:rFonts w:ascii="Garamond" w:eastAsia="Garamond" w:hAnsi="Garamond"/>
          <w:color w:val="000000"/>
          <w:sz w:val="28"/>
        </w:rPr>
        <w:t xml:space="preserve">The Board cites </w:t>
      </w:r>
      <w:r w:rsidR="00905D5C">
        <w:rPr>
          <w:rFonts w:ascii="Garamond" w:eastAsia="Garamond" w:hAnsi="Garamond"/>
          <w:i/>
          <w:color w:val="000000"/>
          <w:sz w:val="28"/>
        </w:rPr>
        <w:t>In re Acad. Of Sci. Tech Ctr.</w:t>
      </w:r>
      <w:r w:rsidR="00905D5C">
        <w:rPr>
          <w:rFonts w:ascii="Garamond" w:eastAsia="Garamond" w:hAnsi="Garamond"/>
          <w:color w:val="000000"/>
          <w:sz w:val="28"/>
        </w:rPr>
        <w:t xml:space="preserve">, 367 F.3d 1359, 1368 (Fed. Cir. 2004) </w:t>
      </w:r>
      <w:r w:rsidR="00FF7CB0">
        <w:rPr>
          <w:rFonts w:ascii="Garamond" w:eastAsia="Garamond" w:hAnsi="Garamond"/>
          <w:color w:val="000000"/>
          <w:sz w:val="28"/>
        </w:rPr>
        <w:t>for the proposition that “the Board is entitled to weight the declarations and conclude that the lack of factual corroboration warrants discounting the opinions expressed in the declarations.”).  APPX0</w:t>
      </w:r>
      <w:r w:rsidR="00D802C4">
        <w:rPr>
          <w:rFonts w:ascii="Garamond" w:eastAsia="Garamond" w:hAnsi="Garamond"/>
          <w:color w:val="000000"/>
          <w:sz w:val="28"/>
        </w:rPr>
        <w:t xml:space="preserve">037.  </w:t>
      </w:r>
      <w:r w:rsidR="00D4775B">
        <w:rPr>
          <w:rFonts w:ascii="Garamond" w:eastAsia="Garamond" w:hAnsi="Garamond"/>
          <w:color w:val="000000"/>
          <w:sz w:val="28"/>
        </w:rPr>
        <w:t xml:space="preserve">Rather than hold Petitioner to its burden of showing obviousness, </w:t>
      </w:r>
      <w:r w:rsidR="00D802C4">
        <w:rPr>
          <w:rFonts w:ascii="Garamond" w:eastAsia="Garamond" w:hAnsi="Garamond"/>
          <w:color w:val="000000"/>
          <w:sz w:val="28"/>
        </w:rPr>
        <w:t xml:space="preserve">much less requiring corroboration of Dr. Akl’s testimony, </w:t>
      </w:r>
      <w:r w:rsidR="00D4775B">
        <w:rPr>
          <w:rFonts w:ascii="Garamond" w:eastAsia="Garamond" w:hAnsi="Garamond"/>
          <w:color w:val="000000"/>
          <w:sz w:val="28"/>
        </w:rPr>
        <w:t xml:space="preserve">the Board discredited </w:t>
      </w:r>
      <w:r w:rsidR="005461ED">
        <w:rPr>
          <w:rFonts w:ascii="Garamond" w:eastAsia="Garamond" w:hAnsi="Garamond"/>
          <w:color w:val="000000"/>
          <w:sz w:val="28"/>
        </w:rPr>
        <w:t>the Patent Owner for failing to prove a negative.</w:t>
      </w:r>
    </w:p>
    <w:p w:rsidR="005461ED" w:rsidRDefault="005461ED" w:rsidP="005F3104">
      <w:pPr>
        <w:ind w:right="72" w:firstLine="720"/>
        <w:textAlignment w:val="baseline"/>
        <w:rPr>
          <w:rFonts w:ascii="Garamond" w:eastAsia="Garamond" w:hAnsi="Garamond"/>
          <w:color w:val="000000"/>
          <w:sz w:val="28"/>
        </w:rPr>
      </w:pPr>
      <w:r>
        <w:rPr>
          <w:rFonts w:ascii="Garamond" w:eastAsia="Garamond" w:hAnsi="Garamond"/>
          <w:b/>
          <w:color w:val="000000"/>
          <w:sz w:val="28"/>
        </w:rPr>
        <w:t>D.</w:t>
      </w:r>
      <w:r>
        <w:rPr>
          <w:rFonts w:ascii="Garamond" w:eastAsia="Garamond" w:hAnsi="Garamond"/>
          <w:b/>
          <w:color w:val="000000"/>
          <w:sz w:val="28"/>
        </w:rPr>
        <w:tab/>
      </w:r>
      <w:r w:rsidR="00C31E88">
        <w:rPr>
          <w:rFonts w:ascii="Garamond" w:eastAsia="Garamond" w:hAnsi="Garamond"/>
          <w:b/>
          <w:color w:val="000000"/>
          <w:sz w:val="28"/>
        </w:rPr>
        <w:t>Suh Had Less Disclosure of Power Line Modems than Prior Art of Record</w:t>
      </w:r>
    </w:p>
    <w:p w:rsidR="00C31E88" w:rsidRDefault="00C31E88" w:rsidP="002A53EE">
      <w:pPr>
        <w:spacing w:line="665" w:lineRule="exact"/>
        <w:ind w:right="72" w:firstLine="720"/>
        <w:textAlignment w:val="baseline"/>
        <w:rPr>
          <w:rFonts w:ascii="Garamond" w:eastAsia="Garamond" w:hAnsi="Garamond"/>
          <w:color w:val="000000"/>
          <w:sz w:val="28"/>
        </w:rPr>
      </w:pPr>
      <w:r>
        <w:rPr>
          <w:rFonts w:ascii="Garamond" w:eastAsia="Garamond" w:hAnsi="Garamond"/>
          <w:color w:val="000000"/>
          <w:sz w:val="28"/>
        </w:rPr>
        <w:t xml:space="preserve">Petitioner placed Roos (U.S. Patent No. </w:t>
      </w:r>
      <w:r w:rsidR="00083BB4">
        <w:rPr>
          <w:rFonts w:ascii="Garamond" w:eastAsia="Garamond" w:hAnsi="Garamond"/>
          <w:color w:val="000000"/>
          <w:sz w:val="28"/>
        </w:rPr>
        <w:t>5,699,276)</w:t>
      </w:r>
      <w:r w:rsidR="00080841">
        <w:rPr>
          <w:rFonts w:ascii="Garamond" w:eastAsia="Garamond" w:hAnsi="Garamond"/>
          <w:color w:val="000000"/>
          <w:sz w:val="28"/>
        </w:rPr>
        <w:t>, APPX</w:t>
      </w:r>
      <w:r w:rsidR="00221677">
        <w:rPr>
          <w:rFonts w:ascii="Garamond" w:eastAsia="Garamond" w:hAnsi="Garamond"/>
          <w:color w:val="000000"/>
          <w:sz w:val="28"/>
        </w:rPr>
        <w:t>1119-1130,</w:t>
      </w:r>
      <w:r w:rsidR="00083BB4">
        <w:rPr>
          <w:rFonts w:ascii="Garamond" w:eastAsia="Garamond" w:hAnsi="Garamond"/>
          <w:color w:val="000000"/>
          <w:sz w:val="28"/>
        </w:rPr>
        <w:t xml:space="preserve"> and </w:t>
      </w:r>
      <w:r w:rsidR="001E5B04">
        <w:rPr>
          <w:rFonts w:ascii="Garamond" w:eastAsia="Garamond" w:hAnsi="Garamond"/>
          <w:color w:val="000000"/>
          <w:sz w:val="28"/>
        </w:rPr>
        <w:t>Delsing (“The IP-Meter, Design Concept and Example Implementation of an Internet Enabled Power Line Quality Meter,” Jerker Delsing</w:t>
      </w:r>
      <w:r w:rsidR="00FB3220">
        <w:rPr>
          <w:rFonts w:ascii="Garamond" w:eastAsia="Garamond" w:hAnsi="Garamond"/>
          <w:color w:val="000000"/>
          <w:sz w:val="28"/>
        </w:rPr>
        <w:t>, et al. (</w:t>
      </w:r>
      <w:r w:rsidR="00080841">
        <w:rPr>
          <w:rFonts w:ascii="Garamond" w:eastAsia="Garamond" w:hAnsi="Garamond"/>
          <w:color w:val="000000"/>
          <w:sz w:val="28"/>
        </w:rPr>
        <w:t>IEEE 2000))</w:t>
      </w:r>
      <w:r w:rsidR="00221677">
        <w:rPr>
          <w:rFonts w:ascii="Garamond" w:eastAsia="Garamond" w:hAnsi="Garamond"/>
          <w:color w:val="000000"/>
          <w:sz w:val="28"/>
        </w:rPr>
        <w:t xml:space="preserve"> APPX1131-1134 in the record as prior art.  Both of these references were considered, and both were cited by the examiner during the prosecution of the </w:t>
      </w:r>
      <w:r w:rsidR="00534E2F">
        <w:rPr>
          <w:rFonts w:ascii="Garamond" w:eastAsia="Garamond" w:hAnsi="Garamond"/>
          <w:color w:val="000000"/>
          <w:sz w:val="28"/>
        </w:rPr>
        <w:t xml:space="preserve">’524 </w:t>
      </w:r>
      <w:r w:rsidR="00D76CE5">
        <w:rPr>
          <w:rFonts w:ascii="Garamond" w:eastAsia="Garamond" w:hAnsi="Garamond"/>
          <w:color w:val="000000"/>
          <w:sz w:val="28"/>
        </w:rPr>
        <w:t>P</w:t>
      </w:r>
      <w:r w:rsidR="00534E2F">
        <w:rPr>
          <w:rFonts w:ascii="Garamond" w:eastAsia="Garamond" w:hAnsi="Garamond"/>
          <w:color w:val="000000"/>
          <w:sz w:val="28"/>
        </w:rPr>
        <w:t>atent.</w:t>
      </w:r>
    </w:p>
    <w:p w:rsidR="000C6EEF" w:rsidRDefault="00534E2F" w:rsidP="00DA0800">
      <w:pPr>
        <w:spacing w:line="665" w:lineRule="exact"/>
        <w:ind w:right="72" w:firstLine="720"/>
        <w:textAlignment w:val="baseline"/>
        <w:rPr>
          <w:rFonts w:ascii="Garamond" w:eastAsia="Garamond" w:hAnsi="Garamond"/>
          <w:color w:val="000000"/>
          <w:sz w:val="28"/>
        </w:rPr>
      </w:pPr>
      <w:r>
        <w:rPr>
          <w:rFonts w:ascii="Garamond" w:eastAsia="Garamond" w:hAnsi="Garamond"/>
          <w:color w:val="000000"/>
          <w:sz w:val="28"/>
        </w:rPr>
        <w:lastRenderedPageBreak/>
        <w:t>Under the same standard applicable by the Board, the examiner held that the “power line modem” technology disclosed by the</w:t>
      </w:r>
      <w:r w:rsidR="004D5649">
        <w:rPr>
          <w:rFonts w:ascii="Garamond" w:eastAsia="Garamond" w:hAnsi="Garamond"/>
          <w:color w:val="000000"/>
          <w:sz w:val="28"/>
        </w:rPr>
        <w:t xml:space="preserve">se references failed to disclose transmission over an </w:t>
      </w:r>
      <w:r w:rsidR="004D5649">
        <w:rPr>
          <w:rFonts w:ascii="Garamond" w:eastAsia="Garamond" w:hAnsi="Garamond"/>
          <w:i/>
          <w:color w:val="000000"/>
          <w:sz w:val="28"/>
        </w:rPr>
        <w:t xml:space="preserve">external </w:t>
      </w:r>
      <w:r w:rsidR="004D5649">
        <w:rPr>
          <w:rFonts w:ascii="Garamond" w:eastAsia="Garamond" w:hAnsi="Garamond"/>
          <w:color w:val="000000"/>
          <w:sz w:val="28"/>
        </w:rPr>
        <w:t>power line</w:t>
      </w:r>
      <w:r w:rsidR="006B0769">
        <w:rPr>
          <w:rFonts w:ascii="Garamond" w:eastAsia="Garamond" w:hAnsi="Garamond"/>
          <w:color w:val="000000"/>
          <w:sz w:val="28"/>
        </w:rPr>
        <w:t>.</w:t>
      </w:r>
      <w:r w:rsidR="001D15F6">
        <w:rPr>
          <w:rFonts w:ascii="Garamond" w:eastAsia="Garamond" w:hAnsi="Garamond"/>
          <w:color w:val="000000"/>
          <w:sz w:val="28"/>
        </w:rPr>
        <w:t xml:space="preserve">  Specifically, despite Roos stating </w:t>
      </w:r>
      <w:r w:rsidR="00F27B26">
        <w:rPr>
          <w:rFonts w:ascii="Garamond" w:eastAsia="Garamond" w:hAnsi="Garamond"/>
          <w:color w:val="000000"/>
          <w:sz w:val="28"/>
        </w:rPr>
        <w:t>that the meter is connected to via house interface 374 via the house’s internal wiring.</w:t>
      </w:r>
      <w:r w:rsidR="00E864AE">
        <w:rPr>
          <w:rFonts w:ascii="Garamond" w:eastAsia="Garamond" w:hAnsi="Garamond"/>
          <w:color w:val="000000"/>
          <w:sz w:val="28"/>
        </w:rPr>
        <w:t xml:space="preserve">  </w:t>
      </w:r>
      <w:r w:rsidR="00852F43">
        <w:rPr>
          <w:rFonts w:ascii="Garamond" w:eastAsia="Garamond" w:hAnsi="Garamond"/>
          <w:color w:val="000000"/>
          <w:sz w:val="28"/>
        </w:rPr>
        <w:t>APPX</w:t>
      </w:r>
      <w:r w:rsidR="001C5250">
        <w:rPr>
          <w:rFonts w:ascii="Garamond" w:eastAsia="Garamond" w:hAnsi="Garamond"/>
          <w:color w:val="000000"/>
          <w:sz w:val="28"/>
        </w:rPr>
        <w:t>1127 (Roos, 6:39-46).  Similar</w:t>
      </w:r>
      <w:r w:rsidR="00D76CE5">
        <w:rPr>
          <w:rFonts w:ascii="Garamond" w:eastAsia="Garamond" w:hAnsi="Garamond"/>
          <w:color w:val="000000"/>
          <w:sz w:val="28"/>
        </w:rPr>
        <w:t>ly</w:t>
      </w:r>
      <w:r w:rsidR="001C5250">
        <w:rPr>
          <w:rFonts w:ascii="Garamond" w:eastAsia="Garamond" w:hAnsi="Garamond"/>
          <w:color w:val="000000"/>
          <w:sz w:val="28"/>
        </w:rPr>
        <w:t>, Delsing discloses as one of its communications media, “power line modem.”</w:t>
      </w:r>
      <w:r w:rsidR="00B150C7">
        <w:rPr>
          <w:rFonts w:ascii="Garamond" w:eastAsia="Garamond" w:hAnsi="Garamond"/>
          <w:color w:val="000000"/>
          <w:sz w:val="28"/>
        </w:rPr>
        <w:t xml:space="preserve">  APPX1131 (Fig. 1).  Yet despite these references, neither disclosed communication </w:t>
      </w:r>
      <w:r w:rsidR="00CD5F33">
        <w:rPr>
          <w:rFonts w:ascii="Garamond" w:eastAsia="Garamond" w:hAnsi="Garamond"/>
          <w:color w:val="000000"/>
          <w:sz w:val="28"/>
        </w:rPr>
        <w:t xml:space="preserve">via </w:t>
      </w:r>
      <w:r w:rsidR="00D76CE5">
        <w:rPr>
          <w:rFonts w:ascii="Garamond" w:eastAsia="Garamond" w:hAnsi="Garamond"/>
          <w:color w:val="000000"/>
          <w:sz w:val="28"/>
        </w:rPr>
        <w:t xml:space="preserve">an </w:t>
      </w:r>
      <w:r w:rsidR="00CD5F33">
        <w:rPr>
          <w:rFonts w:ascii="Garamond" w:eastAsia="Garamond" w:hAnsi="Garamond"/>
          <w:i/>
          <w:color w:val="000000"/>
          <w:sz w:val="28"/>
        </w:rPr>
        <w:t xml:space="preserve">external </w:t>
      </w:r>
      <w:r w:rsidR="00CD5F33">
        <w:rPr>
          <w:rFonts w:ascii="Garamond" w:eastAsia="Garamond" w:hAnsi="Garamond"/>
          <w:color w:val="000000"/>
          <w:sz w:val="28"/>
        </w:rPr>
        <w:t>power line</w:t>
      </w:r>
      <w:r w:rsidR="00D76CE5">
        <w:rPr>
          <w:rFonts w:ascii="Garamond" w:eastAsia="Garamond" w:hAnsi="Garamond"/>
          <w:color w:val="000000"/>
          <w:sz w:val="28"/>
        </w:rPr>
        <w:t xml:space="preserve"> network</w:t>
      </w:r>
      <w:r w:rsidR="00CD5F33">
        <w:rPr>
          <w:rFonts w:ascii="Garamond" w:eastAsia="Garamond" w:hAnsi="Garamond"/>
          <w:color w:val="000000"/>
          <w:sz w:val="28"/>
        </w:rPr>
        <w:t xml:space="preserve">, and unlike Suh which does not disclose </w:t>
      </w:r>
      <w:r w:rsidR="00CD5F33" w:rsidRPr="00D76CE5">
        <w:rPr>
          <w:rFonts w:ascii="Garamond" w:eastAsia="Garamond" w:hAnsi="Garamond"/>
          <w:i/>
          <w:color w:val="000000"/>
          <w:sz w:val="28"/>
        </w:rPr>
        <w:t>any power line modem at all</w:t>
      </w:r>
      <w:r w:rsidR="00CD5F33">
        <w:rPr>
          <w:rFonts w:ascii="Garamond" w:eastAsia="Garamond" w:hAnsi="Garamond"/>
          <w:color w:val="000000"/>
          <w:sz w:val="28"/>
        </w:rPr>
        <w:t xml:space="preserve">, </w:t>
      </w:r>
      <w:r w:rsidR="00C34821">
        <w:rPr>
          <w:rFonts w:ascii="Garamond" w:eastAsia="Garamond" w:hAnsi="Garamond"/>
          <w:color w:val="000000"/>
          <w:sz w:val="28"/>
        </w:rPr>
        <w:t>the Board merely supplied the missing device despite significant evidence contradicting the operability of such a configuration.</w:t>
      </w:r>
      <w:r w:rsidR="00DA0800">
        <w:rPr>
          <w:rFonts w:ascii="Garamond" w:eastAsia="Garamond" w:hAnsi="Garamond"/>
          <w:color w:val="000000"/>
          <w:sz w:val="28"/>
        </w:rPr>
        <w:t xml:space="preserve"> </w:t>
      </w:r>
      <w:r w:rsidR="00DA0800">
        <w:rPr>
          <w:rFonts w:ascii="Garamond" w:eastAsia="Garamond" w:hAnsi="Garamond"/>
          <w:i/>
          <w:color w:val="000000"/>
          <w:sz w:val="28"/>
        </w:rPr>
        <w:t>C.f.</w:t>
      </w:r>
      <w:r w:rsidR="002267DA">
        <w:rPr>
          <w:rFonts w:ascii="Garamond" w:eastAsia="Garamond" w:hAnsi="Garamond"/>
          <w:color w:val="000000"/>
          <w:sz w:val="28"/>
        </w:rPr>
        <w:t xml:space="preserve"> </w:t>
      </w:r>
      <w:r w:rsidR="002267DA">
        <w:rPr>
          <w:rFonts w:ascii="Garamond" w:eastAsia="Garamond" w:hAnsi="Garamond"/>
          <w:i/>
          <w:color w:val="000000"/>
          <w:sz w:val="29"/>
        </w:rPr>
        <w:t>KSR</w:t>
      </w:r>
      <w:r w:rsidR="002267DA">
        <w:rPr>
          <w:rFonts w:ascii="Garamond" w:eastAsia="Garamond" w:hAnsi="Garamond"/>
          <w:color w:val="000000"/>
          <w:sz w:val="28"/>
        </w:rPr>
        <w:t>, 550 U.S. at 416 (recognizing where the claimed elements are purportedly known in the prior art, there must still be a finding that one of ordinary skill in the art could have combined the elements to arrive at the recited subject matter).</w:t>
      </w:r>
    </w:p>
    <w:p w:rsidR="000C6EEF" w:rsidRPr="005F3104" w:rsidRDefault="00D76CE5" w:rsidP="00550947">
      <w:pPr>
        <w:spacing w:before="240" w:after="240"/>
        <w:ind w:left="792" w:right="504"/>
        <w:textAlignment w:val="baseline"/>
        <w:rPr>
          <w:rFonts w:ascii="Garamond" w:eastAsia="Tahoma" w:hAnsi="Garamond"/>
          <w:b/>
          <w:color w:val="000000"/>
          <w:sz w:val="28"/>
        </w:rPr>
      </w:pPr>
      <w:r>
        <w:rPr>
          <w:rFonts w:ascii="Garamond" w:eastAsia="Tahoma" w:hAnsi="Garamond"/>
          <w:b/>
          <w:color w:val="000000"/>
          <w:sz w:val="28"/>
        </w:rPr>
        <w:t>E</w:t>
      </w:r>
      <w:r w:rsidR="002267DA" w:rsidRPr="005F3104">
        <w:rPr>
          <w:rFonts w:ascii="Garamond" w:eastAsia="Tahoma" w:hAnsi="Garamond"/>
          <w:b/>
          <w:color w:val="000000"/>
          <w:sz w:val="28"/>
        </w:rPr>
        <w:t>. The Board did not Explain Why the Person of Ordinary Skill Would Have Considered the Teachings of the Cited References.</w:t>
      </w:r>
    </w:p>
    <w:p w:rsidR="000C6EEF" w:rsidRDefault="002267DA" w:rsidP="00550947">
      <w:pPr>
        <w:spacing w:line="480" w:lineRule="auto"/>
        <w:ind w:left="72" w:right="72" w:firstLine="720"/>
        <w:textAlignment w:val="baseline"/>
        <w:rPr>
          <w:rFonts w:ascii="Garamond" w:eastAsia="Garamond" w:hAnsi="Garamond"/>
          <w:color w:val="000000"/>
          <w:sz w:val="28"/>
        </w:rPr>
      </w:pPr>
      <w:r>
        <w:rPr>
          <w:rFonts w:ascii="Garamond" w:eastAsia="Garamond" w:hAnsi="Garamond"/>
          <w:color w:val="000000"/>
          <w:sz w:val="28"/>
        </w:rPr>
        <w:t xml:space="preserve">Because the Board’s IPR decisions cannot be “arbitrary, capricious, an abuse of discretion, . . . otherwise not in accordance with law . . . [or] unsupported by substantial evidence,” 5 U.S.C. § 706(2)(A), (E), it is important that the Board explain its reasoning for reaching a decision. </w:t>
      </w:r>
      <w:r>
        <w:rPr>
          <w:rFonts w:ascii="Garamond" w:eastAsia="Garamond" w:hAnsi="Garamond"/>
          <w:i/>
          <w:color w:val="000000"/>
          <w:sz w:val="29"/>
        </w:rPr>
        <w:t>Synopsys, Inc. v. Mentor Graphics Corp.</w:t>
      </w:r>
      <w:r>
        <w:rPr>
          <w:rFonts w:ascii="Garamond" w:eastAsia="Garamond" w:hAnsi="Garamond"/>
          <w:color w:val="000000"/>
          <w:sz w:val="28"/>
        </w:rPr>
        <w:t xml:space="preserve">, 814 F.3d 1309, 1322 (Fed. Cir. 2016) (To “allow effective judicial review, . . . the agency is obligated to ‘provide an administrative record showing the evidence on which the findings are based, accompanied by the agency’s reasoning in reaching its </w:t>
      </w:r>
      <w:r>
        <w:rPr>
          <w:rFonts w:ascii="Garamond" w:eastAsia="Garamond" w:hAnsi="Garamond"/>
          <w:color w:val="000000"/>
          <w:sz w:val="28"/>
        </w:rPr>
        <w:lastRenderedPageBreak/>
        <w:t xml:space="preserve">conclusions.’”) (quoting </w:t>
      </w:r>
      <w:r>
        <w:rPr>
          <w:rFonts w:ascii="Garamond" w:eastAsia="Garamond" w:hAnsi="Garamond"/>
          <w:i/>
          <w:color w:val="000000"/>
          <w:sz w:val="29"/>
        </w:rPr>
        <w:t>In re Lee</w:t>
      </w:r>
      <w:r>
        <w:rPr>
          <w:rFonts w:ascii="Garamond" w:eastAsia="Garamond" w:hAnsi="Garamond"/>
          <w:color w:val="000000"/>
          <w:sz w:val="28"/>
        </w:rPr>
        <w:t xml:space="preserve">, 277 F.3d 1338, 1342 (Fed. Cir. 2002)); </w:t>
      </w:r>
      <w:r>
        <w:rPr>
          <w:rFonts w:ascii="Garamond" w:eastAsia="Garamond" w:hAnsi="Garamond"/>
          <w:i/>
          <w:color w:val="000000"/>
          <w:sz w:val="29"/>
        </w:rPr>
        <w:t>and see Lee</w:t>
      </w:r>
      <w:r>
        <w:rPr>
          <w:rFonts w:ascii="Garamond" w:eastAsia="Garamond" w:hAnsi="Garamond"/>
          <w:color w:val="000000"/>
          <w:sz w:val="28"/>
        </w:rPr>
        <w:t xml:space="preserve">, 277 F.3d at 1342 (“For judicial review to be meaningfully achieved within these strictures, the agency tribunal must present a full and reasoned explanation of its decision. The agency tribunal must set forth its findings and the grounds thereof, as supported by the agency record, and explain its application of the law to the found facts.”). Insofar as the Board’s present decision fails to adequately explain </w:t>
      </w:r>
      <w:r>
        <w:rPr>
          <w:rFonts w:ascii="Garamond" w:eastAsia="Garamond" w:hAnsi="Garamond"/>
          <w:i/>
          <w:color w:val="000000"/>
          <w:sz w:val="29"/>
        </w:rPr>
        <w:t xml:space="preserve">why </w:t>
      </w:r>
      <w:r>
        <w:rPr>
          <w:rFonts w:ascii="Garamond" w:eastAsia="Garamond" w:hAnsi="Garamond"/>
          <w:color w:val="000000"/>
          <w:sz w:val="28"/>
        </w:rPr>
        <w:t xml:space="preserve">a person having ordinary skill in the art would look to the teachings of </w:t>
      </w:r>
      <w:r w:rsidR="00386CF3">
        <w:rPr>
          <w:rFonts w:ascii="Garamond" w:eastAsia="Garamond" w:hAnsi="Garamond"/>
          <w:color w:val="000000"/>
          <w:sz w:val="28"/>
        </w:rPr>
        <w:t>Suh combined with either HomePlug or X.10</w:t>
      </w:r>
      <w:r>
        <w:rPr>
          <w:rFonts w:ascii="Garamond" w:eastAsia="Garamond" w:hAnsi="Garamond"/>
          <w:color w:val="000000"/>
          <w:sz w:val="28"/>
        </w:rPr>
        <w:t>, that decision is inadequate.</w:t>
      </w:r>
    </w:p>
    <w:p w:rsidR="000C6EEF" w:rsidRDefault="002267DA" w:rsidP="00550947">
      <w:pPr>
        <w:spacing w:line="480" w:lineRule="auto"/>
        <w:ind w:firstLine="720"/>
        <w:textAlignment w:val="baseline"/>
        <w:rPr>
          <w:rFonts w:ascii="Garamond" w:eastAsia="Garamond" w:hAnsi="Garamond"/>
          <w:color w:val="000000"/>
          <w:spacing w:val="2"/>
          <w:sz w:val="28"/>
        </w:rPr>
      </w:pPr>
      <w:r>
        <w:rPr>
          <w:rFonts w:ascii="Garamond" w:eastAsia="Garamond" w:hAnsi="Garamond"/>
          <w:color w:val="000000"/>
          <w:spacing w:val="2"/>
          <w:sz w:val="28"/>
        </w:rPr>
        <w:t xml:space="preserve">Under the obviousness theory presented by </w:t>
      </w:r>
      <w:r w:rsidR="006C1D6B">
        <w:rPr>
          <w:rFonts w:ascii="Garamond" w:eastAsia="Garamond" w:hAnsi="Garamond"/>
          <w:color w:val="000000"/>
          <w:spacing w:val="2"/>
          <w:sz w:val="28"/>
        </w:rPr>
        <w:t>Petitioner</w:t>
      </w:r>
      <w:r>
        <w:rPr>
          <w:rFonts w:ascii="Garamond" w:eastAsia="Garamond" w:hAnsi="Garamond"/>
          <w:color w:val="000000"/>
          <w:spacing w:val="2"/>
          <w:sz w:val="28"/>
        </w:rPr>
        <w:t xml:space="preserve">, it was not sufficient for the Board to find that </w:t>
      </w:r>
      <w:r w:rsidR="006C1D6B">
        <w:rPr>
          <w:rFonts w:ascii="Garamond" w:eastAsia="Garamond" w:hAnsi="Garamond"/>
          <w:color w:val="000000"/>
          <w:spacing w:val="2"/>
          <w:sz w:val="28"/>
        </w:rPr>
        <w:t>Suh,</w:t>
      </w:r>
      <w:r>
        <w:rPr>
          <w:rFonts w:ascii="Garamond" w:eastAsia="Garamond" w:hAnsi="Garamond"/>
          <w:color w:val="000000"/>
          <w:spacing w:val="2"/>
          <w:sz w:val="28"/>
        </w:rPr>
        <w:t xml:space="preserve"> </w:t>
      </w:r>
      <w:r w:rsidR="006C1D6B">
        <w:rPr>
          <w:rFonts w:ascii="Garamond" w:eastAsia="Garamond" w:hAnsi="Garamond"/>
          <w:color w:val="000000"/>
          <w:spacing w:val="2"/>
          <w:sz w:val="28"/>
        </w:rPr>
        <w:t>supported by the admitted prior art of HomePlug or X.10</w:t>
      </w:r>
      <w:r>
        <w:rPr>
          <w:rFonts w:ascii="Garamond" w:eastAsia="Garamond" w:hAnsi="Garamond"/>
          <w:color w:val="000000"/>
          <w:spacing w:val="2"/>
          <w:sz w:val="28"/>
        </w:rPr>
        <w:t xml:space="preserve"> suggested all of the elements of the ’</w:t>
      </w:r>
      <w:r w:rsidR="006C1D6B">
        <w:rPr>
          <w:rFonts w:ascii="Garamond" w:eastAsia="Garamond" w:hAnsi="Garamond"/>
          <w:color w:val="000000"/>
          <w:spacing w:val="2"/>
          <w:sz w:val="28"/>
        </w:rPr>
        <w:t>524</w:t>
      </w:r>
      <w:r>
        <w:rPr>
          <w:rFonts w:ascii="Garamond" w:eastAsia="Garamond" w:hAnsi="Garamond"/>
          <w:color w:val="000000"/>
          <w:spacing w:val="2"/>
          <w:sz w:val="28"/>
        </w:rPr>
        <w:t xml:space="preserve"> patent claims at issue. </w:t>
      </w:r>
      <w:r>
        <w:rPr>
          <w:rFonts w:ascii="Garamond" w:eastAsia="Garamond" w:hAnsi="Garamond"/>
          <w:i/>
          <w:color w:val="000000"/>
          <w:spacing w:val="2"/>
          <w:sz w:val="29"/>
        </w:rPr>
        <w:t>See In re Kotzab</w:t>
      </w:r>
      <w:r>
        <w:rPr>
          <w:rFonts w:ascii="Garamond" w:eastAsia="Garamond" w:hAnsi="Garamond"/>
          <w:color w:val="000000"/>
          <w:spacing w:val="2"/>
          <w:sz w:val="28"/>
        </w:rPr>
        <w:t>, 217 F.3d 1365, 1371 (Fed. Cir. 2000) (explaining that a finding of obviousness “cannot be predicated on the mere identification in [the prior art] of individual components of claimed limitations”). The Board had to further find that a person of ordinary skill in the art would have been motivated to combine the prior art</w:t>
      </w:r>
      <w:r w:rsidR="002A19BA">
        <w:rPr>
          <w:rFonts w:ascii="Garamond" w:eastAsia="Garamond" w:hAnsi="Garamond"/>
          <w:color w:val="000000"/>
          <w:spacing w:val="2"/>
          <w:sz w:val="28"/>
        </w:rPr>
        <w:t xml:space="preserve"> (or substitute components within the same reference)</w:t>
      </w:r>
      <w:r>
        <w:rPr>
          <w:rFonts w:ascii="Garamond" w:eastAsia="Garamond" w:hAnsi="Garamond"/>
          <w:color w:val="000000"/>
          <w:spacing w:val="2"/>
          <w:sz w:val="28"/>
        </w:rPr>
        <w:t xml:space="preserve"> </w:t>
      </w:r>
      <w:r w:rsidRPr="002A19BA">
        <w:rPr>
          <w:rFonts w:ascii="Garamond" w:eastAsia="Garamond" w:hAnsi="Garamond"/>
          <w:i/>
          <w:color w:val="000000"/>
          <w:spacing w:val="2"/>
          <w:sz w:val="28"/>
        </w:rPr>
        <w:t>in the way claimed</w:t>
      </w:r>
      <w:r>
        <w:rPr>
          <w:rFonts w:ascii="Garamond" w:eastAsia="Garamond" w:hAnsi="Garamond"/>
          <w:color w:val="000000"/>
          <w:spacing w:val="2"/>
          <w:sz w:val="28"/>
        </w:rPr>
        <w:t xml:space="preserve"> by the ’</w:t>
      </w:r>
      <w:r w:rsidR="002A19BA">
        <w:rPr>
          <w:rFonts w:ascii="Garamond" w:eastAsia="Garamond" w:hAnsi="Garamond"/>
          <w:color w:val="000000"/>
          <w:spacing w:val="2"/>
          <w:sz w:val="28"/>
        </w:rPr>
        <w:t xml:space="preserve">524 </w:t>
      </w:r>
      <w:r>
        <w:rPr>
          <w:rFonts w:ascii="Garamond" w:eastAsia="Garamond" w:hAnsi="Garamond"/>
          <w:color w:val="000000"/>
          <w:spacing w:val="2"/>
          <w:sz w:val="28"/>
        </w:rPr>
        <w:t xml:space="preserve">patent claims at issue and that such an individual would have had a reasonable expectation of success in doing so. </w:t>
      </w:r>
      <w:r>
        <w:rPr>
          <w:rFonts w:ascii="Garamond" w:eastAsia="Garamond" w:hAnsi="Garamond"/>
          <w:i/>
          <w:color w:val="000000"/>
          <w:spacing w:val="2"/>
          <w:sz w:val="29"/>
        </w:rPr>
        <w:t>KSR</w:t>
      </w:r>
      <w:r>
        <w:rPr>
          <w:rFonts w:ascii="Garamond" w:eastAsia="Garamond" w:hAnsi="Garamond"/>
          <w:color w:val="000000"/>
          <w:spacing w:val="2"/>
          <w:sz w:val="28"/>
        </w:rPr>
        <w:t xml:space="preserve">, 550 U.S. at 418-19 (“because inventions in most, if not all, instances rely upon building blocks long since uncovered, and claimed discoveries almost of necessity will be combinations of what, in some sense, is already known”; “it can be important to identify a reason that would have prompted a person of ordinary skill in the relevant field to combine the elements in the way the claimed new invention does.”); </w:t>
      </w:r>
      <w:r>
        <w:rPr>
          <w:rFonts w:ascii="Garamond" w:eastAsia="Garamond" w:hAnsi="Garamond"/>
          <w:i/>
          <w:color w:val="000000"/>
          <w:spacing w:val="2"/>
          <w:sz w:val="29"/>
        </w:rPr>
        <w:t>and see In re NuVasive, Inc.</w:t>
      </w:r>
      <w:r>
        <w:rPr>
          <w:rFonts w:ascii="Garamond" w:eastAsia="Garamond" w:hAnsi="Garamond"/>
          <w:color w:val="000000"/>
          <w:spacing w:val="2"/>
          <w:sz w:val="28"/>
        </w:rPr>
        <w:t xml:space="preserve">, 842 F.3d 1376, 1381-82 (Fed. Cir. 2016) </w:t>
      </w:r>
      <w:r>
        <w:rPr>
          <w:rFonts w:ascii="Garamond" w:eastAsia="Garamond" w:hAnsi="Garamond"/>
          <w:color w:val="000000"/>
          <w:spacing w:val="2"/>
          <w:sz w:val="28"/>
        </w:rPr>
        <w:lastRenderedPageBreak/>
        <w:t xml:space="preserve">(reversing a finding of obviousness where the Board provided only conclusory statements that a POSITA would have been motivated to combine the prior art references); </w:t>
      </w:r>
      <w:r>
        <w:rPr>
          <w:rFonts w:ascii="Garamond" w:eastAsia="Garamond" w:hAnsi="Garamond"/>
          <w:i/>
          <w:color w:val="000000"/>
          <w:spacing w:val="2"/>
          <w:sz w:val="29"/>
        </w:rPr>
        <w:t>In re Warsaw Orthopedic, Inc.</w:t>
      </w:r>
      <w:r>
        <w:rPr>
          <w:rFonts w:ascii="Garamond" w:eastAsia="Garamond" w:hAnsi="Garamond"/>
          <w:color w:val="000000"/>
          <w:spacing w:val="2"/>
          <w:sz w:val="28"/>
        </w:rPr>
        <w:t xml:space="preserve">, 832 F.3d 1327, 1333-34 (Fed. Cir. 2016); </w:t>
      </w:r>
      <w:r>
        <w:rPr>
          <w:rFonts w:ascii="Garamond" w:eastAsia="Garamond" w:hAnsi="Garamond"/>
          <w:i/>
          <w:color w:val="000000"/>
          <w:spacing w:val="2"/>
          <w:sz w:val="29"/>
        </w:rPr>
        <w:t>Ariosa Diagnostics v. Verinata Health, Inc.</w:t>
      </w:r>
      <w:r>
        <w:rPr>
          <w:rFonts w:ascii="Garamond" w:eastAsia="Garamond" w:hAnsi="Garamond"/>
          <w:color w:val="000000"/>
          <w:spacing w:val="2"/>
          <w:sz w:val="28"/>
        </w:rPr>
        <w:t>, 805 F.3d 1359, 1364-67 (Fed. Cir. 2015). As part of that inquiry, the Board needed to examine</w:t>
      </w:r>
      <w:r w:rsidR="00273143">
        <w:rPr>
          <w:rFonts w:ascii="Garamond" w:eastAsia="Garamond" w:hAnsi="Garamond"/>
          <w:color w:val="000000"/>
          <w:spacing w:val="2"/>
          <w:sz w:val="28"/>
        </w:rPr>
        <w:t xml:space="preserve"> whether Petitioner’s proffered prior art reference was even properly considered in the context of the ’524 Patent.  Indeed,</w:t>
      </w:r>
    </w:p>
    <w:p w:rsidR="000C6EEF" w:rsidRDefault="002267DA" w:rsidP="00D378B6">
      <w:pPr>
        <w:spacing w:before="240" w:after="240"/>
        <w:ind w:left="1152" w:right="1152"/>
        <w:textAlignment w:val="baseline"/>
        <w:rPr>
          <w:rFonts w:ascii="Garamond" w:eastAsia="Garamond" w:hAnsi="Garamond"/>
          <w:color w:val="000000"/>
          <w:spacing w:val="-1"/>
          <w:sz w:val="28"/>
        </w:rPr>
      </w:pPr>
      <w:r>
        <w:rPr>
          <w:rFonts w:ascii="Garamond" w:eastAsia="Garamond" w:hAnsi="Garamond"/>
          <w:color w:val="000000"/>
          <w:spacing w:val="-1"/>
          <w:sz w:val="28"/>
        </w:rPr>
        <w:t>the obviousness analysis [is not] an inquiry into whether a person of skill, with two (and only two) references sitting on the table in front of him, would have been motivated to combine (or, in [Petitioner’s] view, could have combined) the references in a way that renders the claimed invention obvious. The real question is whether that skilled artisan would have plucked one reference out of the sea of prior art [] and combined it with [another] to address some need present in the field []. Whether a skilled artisan would be motivated to make a combination includes whether he would select particular references in order to combine their elements.</w:t>
      </w:r>
    </w:p>
    <w:p w:rsidR="000C6EEF" w:rsidRDefault="002267DA" w:rsidP="00386CF3">
      <w:pPr>
        <w:spacing w:before="74" w:line="480" w:lineRule="auto"/>
        <w:ind w:left="72" w:right="720"/>
        <w:textAlignment w:val="baseline"/>
        <w:rPr>
          <w:rFonts w:ascii="Garamond" w:eastAsia="Garamond" w:hAnsi="Garamond"/>
          <w:i/>
          <w:color w:val="000000"/>
          <w:sz w:val="29"/>
        </w:rPr>
      </w:pPr>
      <w:r>
        <w:rPr>
          <w:rFonts w:ascii="Garamond" w:eastAsia="Garamond" w:hAnsi="Garamond"/>
          <w:i/>
          <w:color w:val="000000"/>
          <w:sz w:val="29"/>
        </w:rPr>
        <w:t xml:space="preserve">WBIP, LLC v. Kohler Co., </w:t>
      </w:r>
      <w:r>
        <w:rPr>
          <w:rFonts w:ascii="Garamond" w:eastAsia="Garamond" w:hAnsi="Garamond"/>
          <w:color w:val="000000"/>
          <w:sz w:val="28"/>
        </w:rPr>
        <w:t xml:space="preserve">829 F. 3d 1317, 1337 (Fed. Cir. 2016). “To facilitate review, this analysis should [have been] made explicit.” </w:t>
      </w:r>
      <w:r>
        <w:rPr>
          <w:rFonts w:ascii="Garamond" w:eastAsia="Garamond" w:hAnsi="Garamond"/>
          <w:i/>
          <w:color w:val="000000"/>
          <w:sz w:val="29"/>
        </w:rPr>
        <w:t>KSR</w:t>
      </w:r>
      <w:r>
        <w:rPr>
          <w:rFonts w:ascii="Garamond" w:eastAsia="Garamond" w:hAnsi="Garamond"/>
          <w:color w:val="000000"/>
          <w:sz w:val="28"/>
        </w:rPr>
        <w:t>, 550 U.S. at 418.</w:t>
      </w:r>
    </w:p>
    <w:p w:rsidR="000C6EEF" w:rsidRDefault="00753FB8" w:rsidP="00386CF3">
      <w:pPr>
        <w:spacing w:line="480" w:lineRule="auto"/>
        <w:ind w:left="72" w:right="72" w:firstLine="720"/>
        <w:textAlignment w:val="baseline"/>
        <w:rPr>
          <w:rFonts w:ascii="Garamond" w:eastAsia="Garamond" w:hAnsi="Garamond"/>
          <w:color w:val="000000"/>
          <w:spacing w:val="-1"/>
          <w:sz w:val="28"/>
        </w:rPr>
      </w:pPr>
      <w:r>
        <w:rPr>
          <w:rFonts w:ascii="Garamond" w:eastAsia="Garamond" w:hAnsi="Garamond"/>
          <w:color w:val="000000"/>
          <w:spacing w:val="-1"/>
          <w:sz w:val="28"/>
        </w:rPr>
        <w:t>In this case, the Board ignored the fact that HomePlug did not exist at the time of the application of Suh, and pressed forward by stating that HomePlug was a “developed data transmission overlay technology” that</w:t>
      </w:r>
      <w:r w:rsidR="00386CF3">
        <w:rPr>
          <w:rFonts w:ascii="Garamond" w:eastAsia="Garamond" w:hAnsi="Garamond"/>
          <w:color w:val="000000"/>
          <w:spacing w:val="-1"/>
          <w:sz w:val="28"/>
        </w:rPr>
        <w:t xml:space="preserve"> existed, rather than</w:t>
      </w:r>
      <w:r>
        <w:rPr>
          <w:rFonts w:ascii="Garamond" w:eastAsia="Garamond" w:hAnsi="Garamond"/>
          <w:color w:val="000000"/>
          <w:spacing w:val="-1"/>
          <w:sz w:val="28"/>
        </w:rPr>
        <w:t xml:space="preserve"> it was prospective.  Furthermore, the Board ignored Dr. Akl’s admission that the only teaching he was aware of that even made use of </w:t>
      </w:r>
      <w:r w:rsidR="00D27C5B">
        <w:rPr>
          <w:rFonts w:ascii="Garamond" w:eastAsia="Garamond" w:hAnsi="Garamond"/>
          <w:color w:val="000000"/>
          <w:spacing w:val="-1"/>
          <w:sz w:val="28"/>
        </w:rPr>
        <w:t xml:space="preserve">HomePlug or X.10 for </w:t>
      </w:r>
      <w:r w:rsidR="00D27C5B">
        <w:rPr>
          <w:rFonts w:ascii="Garamond" w:eastAsia="Garamond" w:hAnsi="Garamond"/>
          <w:i/>
          <w:color w:val="000000"/>
          <w:spacing w:val="-1"/>
          <w:sz w:val="28"/>
        </w:rPr>
        <w:t xml:space="preserve">external </w:t>
      </w:r>
      <w:r w:rsidR="00D27C5B">
        <w:rPr>
          <w:rFonts w:ascii="Garamond" w:eastAsia="Garamond" w:hAnsi="Garamond"/>
          <w:color w:val="000000"/>
          <w:spacing w:val="-1"/>
          <w:sz w:val="28"/>
        </w:rPr>
        <w:t>power line transmission was the ’524 patent itself.</w:t>
      </w:r>
      <w:r w:rsidR="00801318">
        <w:rPr>
          <w:rFonts w:ascii="Garamond" w:eastAsia="Garamond" w:hAnsi="Garamond"/>
          <w:color w:val="000000"/>
          <w:spacing w:val="-1"/>
          <w:sz w:val="28"/>
        </w:rPr>
        <w:t xml:space="preserve">  APPX</w:t>
      </w:r>
      <w:r w:rsidR="00801A57">
        <w:rPr>
          <w:rFonts w:ascii="Garamond" w:eastAsia="Garamond" w:hAnsi="Garamond"/>
          <w:color w:val="000000"/>
          <w:spacing w:val="-1"/>
          <w:sz w:val="28"/>
        </w:rPr>
        <w:t>1340-1341.</w:t>
      </w:r>
    </w:p>
    <w:p w:rsidR="000C6EEF" w:rsidRDefault="00ED360D" w:rsidP="00550947">
      <w:pPr>
        <w:spacing w:line="480" w:lineRule="auto"/>
        <w:ind w:left="72" w:right="144" w:firstLine="648"/>
        <w:textAlignment w:val="baseline"/>
        <w:rPr>
          <w:rFonts w:ascii="Garamond" w:eastAsia="Garamond" w:hAnsi="Garamond"/>
          <w:color w:val="000000"/>
          <w:sz w:val="28"/>
        </w:rPr>
      </w:pPr>
      <w:r>
        <w:rPr>
          <w:rFonts w:ascii="Garamond" w:eastAsia="Garamond" w:hAnsi="Garamond"/>
          <w:color w:val="000000"/>
          <w:sz w:val="28"/>
        </w:rPr>
        <w:t xml:space="preserve">The Board’s </w:t>
      </w:r>
      <w:r w:rsidR="002267DA">
        <w:rPr>
          <w:rFonts w:ascii="Garamond" w:eastAsia="Garamond" w:hAnsi="Garamond"/>
          <w:color w:val="000000"/>
          <w:sz w:val="28"/>
        </w:rPr>
        <w:t xml:space="preserve">discussion </w:t>
      </w:r>
      <w:r>
        <w:rPr>
          <w:rFonts w:ascii="Garamond" w:eastAsia="Garamond" w:hAnsi="Garamond"/>
          <w:color w:val="000000"/>
          <w:sz w:val="28"/>
        </w:rPr>
        <w:t>presupposes that</w:t>
      </w:r>
      <w:r w:rsidR="007A0BD2">
        <w:rPr>
          <w:rFonts w:ascii="Garamond" w:eastAsia="Garamond" w:hAnsi="Garamond"/>
          <w:color w:val="000000"/>
          <w:sz w:val="28"/>
        </w:rPr>
        <w:t xml:space="preserve"> a POSITA</w:t>
      </w:r>
      <w:r w:rsidR="002267DA">
        <w:rPr>
          <w:rFonts w:ascii="Garamond" w:eastAsia="Garamond" w:hAnsi="Garamond"/>
          <w:color w:val="000000"/>
          <w:sz w:val="28"/>
        </w:rPr>
        <w:t xml:space="preserve">, once presented with the cited references, would have understood that they could be combined. This is not enough; such reasoning does not imply a motivation to pick out those references and </w:t>
      </w:r>
      <w:r w:rsidR="002267DA">
        <w:rPr>
          <w:rFonts w:ascii="Garamond" w:eastAsia="Garamond" w:hAnsi="Garamond"/>
          <w:color w:val="000000"/>
          <w:sz w:val="28"/>
        </w:rPr>
        <w:lastRenderedPageBreak/>
        <w:t>combine them</w:t>
      </w:r>
      <w:r w:rsidR="007A0BD2">
        <w:rPr>
          <w:rFonts w:ascii="Garamond" w:eastAsia="Garamond" w:hAnsi="Garamond"/>
          <w:color w:val="000000"/>
          <w:sz w:val="28"/>
        </w:rPr>
        <w:t xml:space="preserve"> – especially when HomePlug did not represent DDTOT at the time of Suh’s filing</w:t>
      </w:r>
      <w:r w:rsidR="002267DA">
        <w:rPr>
          <w:rFonts w:ascii="Garamond" w:eastAsia="Garamond" w:hAnsi="Garamond"/>
          <w:color w:val="000000"/>
          <w:sz w:val="28"/>
        </w:rPr>
        <w:t xml:space="preserve">. </w:t>
      </w:r>
      <w:r w:rsidR="002267DA">
        <w:rPr>
          <w:rFonts w:ascii="Garamond" w:eastAsia="Garamond" w:hAnsi="Garamond"/>
          <w:i/>
          <w:color w:val="000000"/>
          <w:sz w:val="29"/>
        </w:rPr>
        <w:t>See Belden Inc. v. Berk-Tek LLC</w:t>
      </w:r>
      <w:r w:rsidR="002267DA">
        <w:rPr>
          <w:rFonts w:ascii="Garamond" w:eastAsia="Garamond" w:hAnsi="Garamond"/>
          <w:color w:val="000000"/>
          <w:sz w:val="28"/>
        </w:rPr>
        <w:t xml:space="preserve">, 805 F.3d 1064, 1073 (Fed. Cir. 2015) (“[O]bviousness concerns whether a skilled artisan not only could have made but would have been motivated to make the combinations or modifications of prior art to arrive at the claimed invention.”); </w:t>
      </w:r>
      <w:r w:rsidR="002267DA">
        <w:rPr>
          <w:rFonts w:ascii="Garamond" w:eastAsia="Garamond" w:hAnsi="Garamond"/>
          <w:i/>
          <w:color w:val="000000"/>
          <w:sz w:val="29"/>
        </w:rPr>
        <w:t>InTouch Techs., Inc. v. VGO Communications, Inc.</w:t>
      </w:r>
      <w:r w:rsidR="002267DA">
        <w:rPr>
          <w:rFonts w:ascii="Garamond" w:eastAsia="Garamond" w:hAnsi="Garamond"/>
          <w:color w:val="000000"/>
          <w:sz w:val="28"/>
        </w:rPr>
        <w:t>, 751 F.3d 1327, 1352 (Fed. Cir. 2014).</w:t>
      </w:r>
    </w:p>
    <w:p w:rsidR="000C6EEF" w:rsidRDefault="002267DA" w:rsidP="00550947">
      <w:pPr>
        <w:spacing w:line="480" w:lineRule="auto"/>
        <w:ind w:left="72" w:right="72" w:firstLine="720"/>
        <w:textAlignment w:val="baseline"/>
        <w:rPr>
          <w:rFonts w:ascii="Garamond" w:eastAsia="Garamond" w:hAnsi="Garamond"/>
          <w:color w:val="000000"/>
          <w:spacing w:val="-1"/>
          <w:sz w:val="28"/>
        </w:rPr>
      </w:pPr>
      <w:r>
        <w:rPr>
          <w:rFonts w:ascii="Garamond" w:eastAsia="Garamond" w:hAnsi="Garamond"/>
          <w:color w:val="000000"/>
          <w:spacing w:val="-1"/>
          <w:sz w:val="28"/>
        </w:rPr>
        <w:t xml:space="preserve">The Board seems to have assumed that because </w:t>
      </w:r>
      <w:r w:rsidR="00472A01">
        <w:rPr>
          <w:rFonts w:ascii="Garamond" w:eastAsia="Garamond" w:hAnsi="Garamond"/>
          <w:color w:val="000000"/>
          <w:spacing w:val="-1"/>
          <w:sz w:val="28"/>
        </w:rPr>
        <w:t xml:space="preserve">HomePlug </w:t>
      </w:r>
      <w:r>
        <w:rPr>
          <w:rFonts w:ascii="Garamond" w:eastAsia="Garamond" w:hAnsi="Garamond"/>
          <w:color w:val="000000"/>
          <w:spacing w:val="-1"/>
          <w:sz w:val="28"/>
        </w:rPr>
        <w:t xml:space="preserve">was being used in </w:t>
      </w:r>
      <w:r w:rsidR="00472A01">
        <w:rPr>
          <w:rFonts w:ascii="Garamond" w:eastAsia="Garamond" w:hAnsi="Garamond"/>
          <w:color w:val="000000"/>
          <w:spacing w:val="-1"/>
          <w:sz w:val="28"/>
        </w:rPr>
        <w:t>Petitioner’</w:t>
      </w:r>
      <w:r>
        <w:rPr>
          <w:rFonts w:ascii="Garamond" w:eastAsia="Garamond" w:hAnsi="Garamond"/>
          <w:color w:val="000000"/>
          <w:spacing w:val="-1"/>
          <w:sz w:val="28"/>
        </w:rPr>
        <w:t xml:space="preserve">s proposed obviousness argument, it was appropriate to simply look to the asserted combination of </w:t>
      </w:r>
      <w:r w:rsidR="00472A01">
        <w:rPr>
          <w:rFonts w:ascii="Garamond" w:eastAsia="Garamond" w:hAnsi="Garamond"/>
          <w:color w:val="000000"/>
          <w:spacing w:val="-1"/>
          <w:sz w:val="28"/>
        </w:rPr>
        <w:t>HomePlug with Suh</w:t>
      </w:r>
      <w:r>
        <w:rPr>
          <w:rFonts w:ascii="Garamond" w:eastAsia="Garamond" w:hAnsi="Garamond"/>
          <w:color w:val="000000"/>
          <w:spacing w:val="-1"/>
          <w:sz w:val="28"/>
        </w:rPr>
        <w:t xml:space="preserve">. APPX022-024. As such, the Board examined the teachings of the references and the </w:t>
      </w:r>
      <w:r w:rsidR="00472A01">
        <w:rPr>
          <w:rFonts w:ascii="Garamond" w:eastAsia="Garamond" w:hAnsi="Garamond"/>
          <w:color w:val="000000"/>
          <w:spacing w:val="-1"/>
          <w:sz w:val="28"/>
        </w:rPr>
        <w:t>assumed a</w:t>
      </w:r>
      <w:r>
        <w:rPr>
          <w:rFonts w:ascii="Garamond" w:eastAsia="Garamond" w:hAnsi="Garamond"/>
          <w:color w:val="000000"/>
          <w:spacing w:val="-1"/>
          <w:sz w:val="28"/>
        </w:rPr>
        <w:t xml:space="preserve"> motivation to combine. Where the Board failed, however, was in not first assessing whether the person of ordinary skill “would have plucked [</w:t>
      </w:r>
      <w:r w:rsidR="00BC5DFF">
        <w:rPr>
          <w:rFonts w:ascii="Garamond" w:eastAsia="Garamond" w:hAnsi="Garamond"/>
          <w:color w:val="000000"/>
          <w:spacing w:val="-1"/>
          <w:sz w:val="28"/>
        </w:rPr>
        <w:t>Suh</w:t>
      </w:r>
      <w:r>
        <w:rPr>
          <w:rFonts w:ascii="Garamond" w:eastAsia="Garamond" w:hAnsi="Garamond"/>
          <w:color w:val="000000"/>
          <w:spacing w:val="-1"/>
          <w:sz w:val="28"/>
        </w:rPr>
        <w:t xml:space="preserve">] out of the sea of prior art” at all. </w:t>
      </w:r>
      <w:r>
        <w:rPr>
          <w:rFonts w:ascii="Garamond" w:eastAsia="Garamond" w:hAnsi="Garamond"/>
          <w:i/>
          <w:color w:val="000000"/>
          <w:spacing w:val="-1"/>
          <w:sz w:val="29"/>
        </w:rPr>
        <w:t xml:space="preserve">WBIP, LLC., </w:t>
      </w:r>
      <w:r>
        <w:rPr>
          <w:rFonts w:ascii="Garamond" w:eastAsia="Garamond" w:hAnsi="Garamond"/>
          <w:color w:val="000000"/>
          <w:spacing w:val="-1"/>
          <w:sz w:val="28"/>
        </w:rPr>
        <w:t xml:space="preserve">829 F. 3d at 1337. As such, there are gaps in the Board’s analysis and these gaps are reason enough alone for the Court to reverse the Board’s decision. </w:t>
      </w:r>
      <w:r>
        <w:rPr>
          <w:rFonts w:ascii="Garamond" w:eastAsia="Garamond" w:hAnsi="Garamond"/>
          <w:i/>
          <w:color w:val="000000"/>
          <w:spacing w:val="-1"/>
          <w:sz w:val="29"/>
        </w:rPr>
        <w:t>See, e.g.</w:t>
      </w:r>
      <w:r>
        <w:rPr>
          <w:rFonts w:ascii="Garamond" w:eastAsia="Garamond" w:hAnsi="Garamond"/>
          <w:color w:val="000000"/>
          <w:spacing w:val="-1"/>
          <w:sz w:val="28"/>
        </w:rPr>
        <w:t xml:space="preserve">, </w:t>
      </w:r>
      <w:r>
        <w:rPr>
          <w:rFonts w:ascii="Garamond" w:eastAsia="Garamond" w:hAnsi="Garamond"/>
          <w:i/>
          <w:color w:val="000000"/>
          <w:spacing w:val="-1"/>
          <w:sz w:val="29"/>
        </w:rPr>
        <w:t>In re Van Os</w:t>
      </w:r>
      <w:r>
        <w:rPr>
          <w:rFonts w:ascii="Garamond" w:eastAsia="Garamond" w:hAnsi="Garamond"/>
          <w:color w:val="000000"/>
          <w:spacing w:val="-1"/>
          <w:sz w:val="28"/>
        </w:rPr>
        <w:t xml:space="preserve">, 844 F.3d 1359, 1362 (Fed. Cir. 2017) (Newman, J., concurring-in-part, dissenting-in-part); </w:t>
      </w:r>
      <w:r>
        <w:rPr>
          <w:rFonts w:ascii="Garamond" w:eastAsia="Garamond" w:hAnsi="Garamond"/>
          <w:i/>
          <w:color w:val="000000"/>
          <w:spacing w:val="-1"/>
          <w:sz w:val="29"/>
        </w:rPr>
        <w:t>accord Icon Health and Fitness, Inc. v. Strava, Inc.</w:t>
      </w:r>
      <w:r>
        <w:rPr>
          <w:rFonts w:ascii="Garamond" w:eastAsia="Garamond" w:hAnsi="Garamond"/>
          <w:color w:val="000000"/>
          <w:spacing w:val="-1"/>
          <w:sz w:val="28"/>
        </w:rPr>
        <w:t>, No. 2016-1475, slip op. at 23-24 (Fed. Cir. Feb. 27, 2017) (O’Malley, J., concurring-in-part, dissenting-in-part).</w:t>
      </w:r>
    </w:p>
    <w:p w:rsidR="000C6EEF" w:rsidRPr="00550947" w:rsidRDefault="002267DA" w:rsidP="00550947">
      <w:pPr>
        <w:spacing w:line="480" w:lineRule="auto"/>
        <w:textAlignment w:val="baseline"/>
        <w:rPr>
          <w:rFonts w:ascii="Garamond" w:eastAsia="Tahoma" w:hAnsi="Garamond"/>
          <w:b/>
          <w:color w:val="000000"/>
          <w:spacing w:val="18"/>
          <w:sz w:val="28"/>
          <w:szCs w:val="28"/>
        </w:rPr>
      </w:pPr>
      <w:r w:rsidRPr="00550947">
        <w:rPr>
          <w:rFonts w:ascii="Garamond" w:eastAsia="Tahoma" w:hAnsi="Garamond"/>
          <w:b/>
          <w:color w:val="000000"/>
          <w:spacing w:val="18"/>
          <w:sz w:val="28"/>
          <w:szCs w:val="28"/>
        </w:rPr>
        <w:t>VII. CONCLUSION</w:t>
      </w:r>
    </w:p>
    <w:p w:rsidR="000C6EEF" w:rsidRDefault="002267DA" w:rsidP="00550947">
      <w:pPr>
        <w:spacing w:line="480" w:lineRule="auto"/>
        <w:ind w:left="72" w:firstLine="720"/>
        <w:textAlignment w:val="baseline"/>
        <w:rPr>
          <w:rFonts w:ascii="Garamond" w:eastAsia="Garamond" w:hAnsi="Garamond"/>
          <w:color w:val="000000"/>
          <w:spacing w:val="6"/>
          <w:sz w:val="28"/>
        </w:rPr>
      </w:pPr>
      <w:r w:rsidRPr="00550947">
        <w:rPr>
          <w:rFonts w:ascii="Garamond" w:eastAsia="Garamond" w:hAnsi="Garamond"/>
          <w:color w:val="000000"/>
          <w:spacing w:val="6"/>
          <w:sz w:val="28"/>
          <w:szCs w:val="28"/>
        </w:rPr>
        <w:t>For at least</w:t>
      </w:r>
      <w:r>
        <w:rPr>
          <w:rFonts w:ascii="Garamond" w:eastAsia="Garamond" w:hAnsi="Garamond"/>
          <w:color w:val="000000"/>
          <w:spacing w:val="6"/>
          <w:sz w:val="28"/>
        </w:rPr>
        <w:t xml:space="preserve"> the forgoing reasons, the Board’s decision finding clai</w:t>
      </w:r>
      <w:r w:rsidR="00BC5DFF">
        <w:rPr>
          <w:rFonts w:ascii="Garamond" w:eastAsia="Garamond" w:hAnsi="Garamond"/>
          <w:color w:val="000000"/>
          <w:spacing w:val="6"/>
          <w:sz w:val="28"/>
        </w:rPr>
        <w:t>ms 17-22 o</w:t>
      </w:r>
      <w:r>
        <w:rPr>
          <w:rFonts w:ascii="Garamond" w:eastAsia="Garamond" w:hAnsi="Garamond"/>
          <w:color w:val="000000"/>
          <w:spacing w:val="6"/>
          <w:sz w:val="28"/>
        </w:rPr>
        <w:t>f the ’</w:t>
      </w:r>
      <w:r w:rsidR="00BC5DFF">
        <w:rPr>
          <w:rFonts w:ascii="Garamond" w:eastAsia="Garamond" w:hAnsi="Garamond"/>
          <w:color w:val="000000"/>
          <w:spacing w:val="6"/>
          <w:sz w:val="28"/>
        </w:rPr>
        <w:t>524</w:t>
      </w:r>
      <w:r>
        <w:rPr>
          <w:rFonts w:ascii="Garamond" w:eastAsia="Garamond" w:hAnsi="Garamond"/>
          <w:color w:val="000000"/>
          <w:spacing w:val="6"/>
          <w:sz w:val="28"/>
        </w:rPr>
        <w:t xml:space="preserve"> </w:t>
      </w:r>
      <w:r w:rsidR="00386CF3">
        <w:rPr>
          <w:rFonts w:ascii="Garamond" w:eastAsia="Garamond" w:hAnsi="Garamond"/>
          <w:color w:val="000000"/>
          <w:spacing w:val="6"/>
          <w:sz w:val="28"/>
        </w:rPr>
        <w:t>P</w:t>
      </w:r>
      <w:r>
        <w:rPr>
          <w:rFonts w:ascii="Garamond" w:eastAsia="Garamond" w:hAnsi="Garamond"/>
          <w:color w:val="000000"/>
          <w:spacing w:val="6"/>
          <w:sz w:val="28"/>
        </w:rPr>
        <w:t xml:space="preserve">atent unpatentable should be reversed, or at least vacated and the case remanded for further determinations consistent with the correct </w:t>
      </w:r>
      <w:r w:rsidR="009C26E5">
        <w:rPr>
          <w:rFonts w:ascii="Garamond" w:eastAsia="Garamond" w:hAnsi="Garamond"/>
          <w:color w:val="000000"/>
          <w:spacing w:val="6"/>
          <w:sz w:val="28"/>
        </w:rPr>
        <w:t xml:space="preserve">application of the burden of proof, </w:t>
      </w:r>
      <w:r w:rsidR="00AB7B29">
        <w:rPr>
          <w:rFonts w:ascii="Garamond" w:eastAsia="Garamond" w:hAnsi="Garamond"/>
          <w:color w:val="000000"/>
          <w:spacing w:val="6"/>
          <w:sz w:val="28"/>
        </w:rPr>
        <w:t xml:space="preserve">the appropriate consideration of Petitioner’s expert’s </w:t>
      </w:r>
      <w:r w:rsidR="00AB7B29">
        <w:rPr>
          <w:rFonts w:ascii="Garamond" w:eastAsia="Garamond" w:hAnsi="Garamond"/>
          <w:color w:val="000000"/>
          <w:spacing w:val="6"/>
          <w:sz w:val="28"/>
        </w:rPr>
        <w:lastRenderedPageBreak/>
        <w:t xml:space="preserve">admissions regarding </w:t>
      </w:r>
      <w:r w:rsidR="00AC2BFB">
        <w:rPr>
          <w:rFonts w:ascii="Garamond" w:eastAsia="Garamond" w:hAnsi="Garamond"/>
          <w:color w:val="000000"/>
          <w:spacing w:val="6"/>
          <w:sz w:val="28"/>
        </w:rPr>
        <w:t>the sole no</w:t>
      </w:r>
      <w:r w:rsidR="00386CF3">
        <w:rPr>
          <w:rFonts w:ascii="Garamond" w:eastAsia="Garamond" w:hAnsi="Garamond"/>
          <w:color w:val="000000"/>
          <w:spacing w:val="6"/>
          <w:sz w:val="28"/>
        </w:rPr>
        <w:t>velty of teachings of the ’524 P</w:t>
      </w:r>
      <w:r w:rsidR="00AC2BFB">
        <w:rPr>
          <w:rFonts w:ascii="Garamond" w:eastAsia="Garamond" w:hAnsi="Garamond"/>
          <w:color w:val="000000"/>
          <w:spacing w:val="6"/>
          <w:sz w:val="28"/>
        </w:rPr>
        <w:t>atent</w:t>
      </w:r>
      <w:r w:rsidR="00386CF3">
        <w:rPr>
          <w:rFonts w:ascii="Garamond" w:eastAsia="Garamond" w:hAnsi="Garamond"/>
          <w:color w:val="000000"/>
          <w:spacing w:val="6"/>
          <w:sz w:val="28"/>
        </w:rPr>
        <w:t>’</w:t>
      </w:r>
      <w:r w:rsidR="00AC2BFB">
        <w:rPr>
          <w:rFonts w:ascii="Garamond" w:eastAsia="Garamond" w:hAnsi="Garamond"/>
          <w:color w:val="000000"/>
          <w:spacing w:val="6"/>
          <w:sz w:val="28"/>
        </w:rPr>
        <w:t xml:space="preserve">s use of external power line </w:t>
      </w:r>
      <w:r w:rsidR="00386CF3">
        <w:rPr>
          <w:rFonts w:ascii="Garamond" w:eastAsia="Garamond" w:hAnsi="Garamond"/>
          <w:color w:val="000000"/>
          <w:spacing w:val="6"/>
          <w:sz w:val="28"/>
        </w:rPr>
        <w:t xml:space="preserve">network </w:t>
      </w:r>
      <w:r w:rsidR="00AC2BFB">
        <w:rPr>
          <w:rFonts w:ascii="Garamond" w:eastAsia="Garamond" w:hAnsi="Garamond"/>
          <w:color w:val="000000"/>
          <w:spacing w:val="6"/>
          <w:sz w:val="28"/>
        </w:rPr>
        <w:t>communication</w:t>
      </w:r>
      <w:r w:rsidR="001B7F99">
        <w:rPr>
          <w:rFonts w:ascii="Garamond" w:eastAsia="Garamond" w:hAnsi="Garamond"/>
          <w:color w:val="000000"/>
          <w:spacing w:val="6"/>
          <w:sz w:val="28"/>
        </w:rPr>
        <w:t>, and the prohibition of using hindsight to invalidate claims</w:t>
      </w:r>
      <w:r>
        <w:rPr>
          <w:rFonts w:ascii="Garamond" w:eastAsia="Garamond" w:hAnsi="Garamond"/>
          <w:color w:val="000000"/>
          <w:spacing w:val="6"/>
          <w:sz w:val="28"/>
        </w:rPr>
        <w:t>.</w:t>
      </w:r>
    </w:p>
    <w:p w:rsidR="000C6EEF" w:rsidRDefault="000C6EEF" w:rsidP="00E95711">
      <w:pPr>
        <w:spacing w:before="2392" w:line="273" w:lineRule="exact"/>
        <w:textAlignment w:val="baseline"/>
        <w:rPr>
          <w:rFonts w:eastAsia="Times New Roman"/>
          <w:color w:val="000000"/>
          <w:spacing w:val="42"/>
          <w:sz w:val="24"/>
        </w:rPr>
      </w:pPr>
    </w:p>
    <w:sectPr w:rsidR="000C6EEF" w:rsidSect="009C7675">
      <w:pgSz w:w="12240" w:h="15840"/>
      <w:pgMar w:top="1080" w:right="1431" w:bottom="304" w:left="13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default"/>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Garamond">
    <w:charset w:val="00"/>
    <w:pitch w:val="variable"/>
    <w:family w:val="roman"/>
    <w:panose1 w:val="02020603050405020304"/>
  </w:font>
  <w:font w:name="Cambria">
    <w:charset w:val="00"/>
    <w:pitch w:val="variable"/>
    <w:family w:val="roman"/>
    <w:panose1 w:val="02020603050405020304"/>
  </w:font>
  <w:font w:name="Tahoma">
    <w:charset w:val="00"/>
    <w:pitch w:val="variable"/>
    <w:family w:val="swiss"/>
    <w:panose1 w:val="02020603050405020304"/>
  </w:font>
  <w:font w:name="Verdana">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61E8F"/>
    <w:multiLevelType w:val="multilevel"/>
    <w:tmpl w:val="1C3217EA"/>
    <w:lvl w:ilvl="0">
      <w:start w:val="1"/>
      <w:numFmt w:val="decimal"/>
      <w:lvlText w:val="%1."/>
      <w:lvlJc w:val="left"/>
      <w:pPr>
        <w:tabs>
          <w:tab w:val="left" w:pos="288"/>
        </w:tabs>
        <w:ind w:left="720"/>
      </w:pPr>
      <w:rPr>
        <w:rFonts w:ascii="Garamond" w:eastAsia="Garamond" w:hAnsi="Garamond"/>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B477E9"/>
    <w:multiLevelType w:val="multilevel"/>
    <w:tmpl w:val="DC44C5BE"/>
    <w:lvl w:ilvl="0">
      <w:start w:val="3"/>
      <w:numFmt w:val="upperRoman"/>
      <w:lvlText w:val="%1."/>
      <w:lvlJc w:val="left"/>
      <w:pPr>
        <w:tabs>
          <w:tab w:val="left" w:pos="720"/>
        </w:tabs>
        <w:ind w:left="720"/>
      </w:pPr>
      <w:rPr>
        <w:rFonts w:ascii="Tahoma" w:eastAsia="Tahoma" w:hAnsi="Tahoma"/>
        <w:b/>
        <w:strike w:val="0"/>
        <w:color w:val="000000"/>
        <w:spacing w:val="1"/>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0E5650"/>
    <w:multiLevelType w:val="multilevel"/>
    <w:tmpl w:val="E328FA1A"/>
    <w:lvl w:ilvl="0">
      <w:start w:val="1"/>
      <w:numFmt w:val="upperRoman"/>
      <w:lvlText w:val="%1."/>
      <w:lvlJc w:val="left"/>
      <w:pPr>
        <w:tabs>
          <w:tab w:val="left" w:pos="576"/>
        </w:tabs>
        <w:ind w:left="720"/>
      </w:pPr>
      <w:rPr>
        <w:rFonts w:ascii="Tahoma" w:eastAsia="Tahoma" w:hAnsi="Tahoma"/>
        <w:b/>
        <w:strike w:val="0"/>
        <w:color w:val="000000"/>
        <w:spacing w:val="5"/>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A34265"/>
    <w:multiLevelType w:val="multilevel"/>
    <w:tmpl w:val="D8C6B01E"/>
    <w:lvl w:ilvl="0">
      <w:start w:val="1"/>
      <w:numFmt w:val="lowerRoman"/>
      <w:lvlText w:val="%1."/>
      <w:lvlJc w:val="left"/>
      <w:pPr>
        <w:tabs>
          <w:tab w:val="left" w:pos="216"/>
        </w:tabs>
        <w:ind w:left="720"/>
      </w:pPr>
      <w:rPr>
        <w:rFonts w:ascii="Garamond" w:eastAsia="Garamond" w:hAnsi="Garamond"/>
        <w:i/>
        <w:strike w:val="0"/>
        <w:color w:val="000000"/>
        <w:spacing w:val="0"/>
        <w:w w:val="100"/>
        <w:sz w:val="2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825780"/>
    <w:multiLevelType w:val="multilevel"/>
    <w:tmpl w:val="2402E5E4"/>
    <w:lvl w:ilvl="0">
      <w:start w:val="1"/>
      <w:numFmt w:val="lowerRoman"/>
      <w:lvlText w:val="%1."/>
      <w:lvlJc w:val="left"/>
      <w:pPr>
        <w:tabs>
          <w:tab w:val="left" w:pos="288"/>
        </w:tabs>
        <w:ind w:left="720"/>
      </w:pPr>
      <w:rPr>
        <w:rFonts w:ascii="Garamond" w:eastAsia="Garamond" w:hAnsi="Garamond"/>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0621860"/>
    <w:multiLevelType w:val="hybridMultilevel"/>
    <w:tmpl w:val="76FC3C10"/>
    <w:lvl w:ilvl="0" w:tplc="EED883CA">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579F3BAB"/>
    <w:multiLevelType w:val="hybridMultilevel"/>
    <w:tmpl w:val="A54286CA"/>
    <w:lvl w:ilvl="0" w:tplc="DC868166">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63DA7A47"/>
    <w:multiLevelType w:val="multilevel"/>
    <w:tmpl w:val="9024457E"/>
    <w:lvl w:ilvl="0">
      <w:start w:val="1"/>
      <w:numFmt w:val="decimal"/>
      <w:lvlText w:val="%1."/>
      <w:lvlJc w:val="left"/>
      <w:pPr>
        <w:tabs>
          <w:tab w:val="left" w:pos="216"/>
        </w:tabs>
        <w:ind w:left="720"/>
      </w:pPr>
      <w:rPr>
        <w:rFonts w:ascii="Garamond" w:eastAsia="Garamond" w:hAnsi="Garamond"/>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12B45E9"/>
    <w:multiLevelType w:val="multilevel"/>
    <w:tmpl w:val="81029FE4"/>
    <w:lvl w:ilvl="0">
      <w:start w:val="1"/>
      <w:numFmt w:val="upperRoman"/>
      <w:lvlText w:val="%1."/>
      <w:lvlJc w:val="left"/>
      <w:pPr>
        <w:tabs>
          <w:tab w:val="left" w:pos="504"/>
        </w:tabs>
        <w:ind w:left="720"/>
      </w:pPr>
      <w:rPr>
        <w:rFonts w:ascii="Garamond" w:eastAsia="Garamond" w:hAnsi="Garamond"/>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52E2DDE"/>
    <w:multiLevelType w:val="multilevel"/>
    <w:tmpl w:val="AE36F132"/>
    <w:lvl w:ilvl="0">
      <w:start w:val="1"/>
      <w:numFmt w:val="lowerRoman"/>
      <w:lvlText w:val="%1."/>
      <w:lvlJc w:val="left"/>
      <w:pPr>
        <w:tabs>
          <w:tab w:val="left" w:pos="288"/>
        </w:tabs>
        <w:ind w:left="720"/>
      </w:pPr>
      <w:rPr>
        <w:rFonts w:ascii="Garamond" w:eastAsia="Garamond" w:hAnsi="Garamond"/>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4"/>
  </w:num>
  <w:num w:numId="4">
    <w:abstractNumId w:val="9"/>
  </w:num>
  <w:num w:numId="5">
    <w:abstractNumId w:val="7"/>
  </w:num>
  <w:num w:numId="6">
    <w:abstractNumId w:val="2"/>
  </w:num>
  <w:num w:numId="7">
    <w:abstractNumId w:val="1"/>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EEF"/>
    <w:rsid w:val="00003254"/>
    <w:rsid w:val="00010A31"/>
    <w:rsid w:val="00012928"/>
    <w:rsid w:val="00015104"/>
    <w:rsid w:val="00031F68"/>
    <w:rsid w:val="000351B9"/>
    <w:rsid w:val="00050807"/>
    <w:rsid w:val="00056C3F"/>
    <w:rsid w:val="00057635"/>
    <w:rsid w:val="00060C1A"/>
    <w:rsid w:val="000659EE"/>
    <w:rsid w:val="0008048D"/>
    <w:rsid w:val="00080841"/>
    <w:rsid w:val="00082567"/>
    <w:rsid w:val="00083BB4"/>
    <w:rsid w:val="00084040"/>
    <w:rsid w:val="00094CDC"/>
    <w:rsid w:val="00094FEF"/>
    <w:rsid w:val="000A056D"/>
    <w:rsid w:val="000A0797"/>
    <w:rsid w:val="000A1B57"/>
    <w:rsid w:val="000B26E9"/>
    <w:rsid w:val="000C28D4"/>
    <w:rsid w:val="000C30DE"/>
    <w:rsid w:val="000C6EEF"/>
    <w:rsid w:val="000E5C5C"/>
    <w:rsid w:val="000E64D0"/>
    <w:rsid w:val="000F2853"/>
    <w:rsid w:val="000F3E0B"/>
    <w:rsid w:val="00144977"/>
    <w:rsid w:val="00157ED4"/>
    <w:rsid w:val="001629C8"/>
    <w:rsid w:val="00191295"/>
    <w:rsid w:val="001945CC"/>
    <w:rsid w:val="001A6E2E"/>
    <w:rsid w:val="001B7F99"/>
    <w:rsid w:val="001C5250"/>
    <w:rsid w:val="001D15F6"/>
    <w:rsid w:val="001E5B04"/>
    <w:rsid w:val="001F0DA0"/>
    <w:rsid w:val="0020390D"/>
    <w:rsid w:val="00221677"/>
    <w:rsid w:val="0022613D"/>
    <w:rsid w:val="002267DA"/>
    <w:rsid w:val="00246E00"/>
    <w:rsid w:val="00247824"/>
    <w:rsid w:val="002500E9"/>
    <w:rsid w:val="002507E2"/>
    <w:rsid w:val="0025480A"/>
    <w:rsid w:val="00264F86"/>
    <w:rsid w:val="00273143"/>
    <w:rsid w:val="00276319"/>
    <w:rsid w:val="00280C4E"/>
    <w:rsid w:val="00283038"/>
    <w:rsid w:val="0028674B"/>
    <w:rsid w:val="0029128A"/>
    <w:rsid w:val="00292DB9"/>
    <w:rsid w:val="002932DF"/>
    <w:rsid w:val="00294719"/>
    <w:rsid w:val="002A19BA"/>
    <w:rsid w:val="002A53EE"/>
    <w:rsid w:val="002A7EC7"/>
    <w:rsid w:val="002B555B"/>
    <w:rsid w:val="002D1ACE"/>
    <w:rsid w:val="002D4B60"/>
    <w:rsid w:val="002E224E"/>
    <w:rsid w:val="002E6D63"/>
    <w:rsid w:val="002F6F52"/>
    <w:rsid w:val="003031D2"/>
    <w:rsid w:val="00307626"/>
    <w:rsid w:val="00341875"/>
    <w:rsid w:val="00351245"/>
    <w:rsid w:val="003552A7"/>
    <w:rsid w:val="00365152"/>
    <w:rsid w:val="00376C19"/>
    <w:rsid w:val="0038154C"/>
    <w:rsid w:val="00386CF3"/>
    <w:rsid w:val="0039401C"/>
    <w:rsid w:val="003A02A7"/>
    <w:rsid w:val="003A53FE"/>
    <w:rsid w:val="003B0B44"/>
    <w:rsid w:val="003C61A3"/>
    <w:rsid w:val="003D1508"/>
    <w:rsid w:val="003E33D4"/>
    <w:rsid w:val="003F1404"/>
    <w:rsid w:val="0040480A"/>
    <w:rsid w:val="00412A62"/>
    <w:rsid w:val="004136EF"/>
    <w:rsid w:val="00424B3A"/>
    <w:rsid w:val="00427D73"/>
    <w:rsid w:val="00432190"/>
    <w:rsid w:val="00437CA4"/>
    <w:rsid w:val="00442275"/>
    <w:rsid w:val="0045327D"/>
    <w:rsid w:val="004555A8"/>
    <w:rsid w:val="00455F42"/>
    <w:rsid w:val="00461C37"/>
    <w:rsid w:val="004634A8"/>
    <w:rsid w:val="004637F4"/>
    <w:rsid w:val="00464442"/>
    <w:rsid w:val="004713D1"/>
    <w:rsid w:val="00472A01"/>
    <w:rsid w:val="00482411"/>
    <w:rsid w:val="00485932"/>
    <w:rsid w:val="00486907"/>
    <w:rsid w:val="004A14F0"/>
    <w:rsid w:val="004A3F03"/>
    <w:rsid w:val="004A4379"/>
    <w:rsid w:val="004A4DA6"/>
    <w:rsid w:val="004B132E"/>
    <w:rsid w:val="004B66C8"/>
    <w:rsid w:val="004B7569"/>
    <w:rsid w:val="004C444E"/>
    <w:rsid w:val="004C6A47"/>
    <w:rsid w:val="004C78D1"/>
    <w:rsid w:val="004D5649"/>
    <w:rsid w:val="004E206B"/>
    <w:rsid w:val="004E6A16"/>
    <w:rsid w:val="004F6BF2"/>
    <w:rsid w:val="005067BA"/>
    <w:rsid w:val="00513DE5"/>
    <w:rsid w:val="005161EA"/>
    <w:rsid w:val="00521315"/>
    <w:rsid w:val="0053275C"/>
    <w:rsid w:val="00534E2F"/>
    <w:rsid w:val="00535F26"/>
    <w:rsid w:val="0053665F"/>
    <w:rsid w:val="00540597"/>
    <w:rsid w:val="005408FF"/>
    <w:rsid w:val="00543BD3"/>
    <w:rsid w:val="00544C77"/>
    <w:rsid w:val="005461ED"/>
    <w:rsid w:val="00550947"/>
    <w:rsid w:val="00585A97"/>
    <w:rsid w:val="00591909"/>
    <w:rsid w:val="00592DCF"/>
    <w:rsid w:val="00594353"/>
    <w:rsid w:val="00594E41"/>
    <w:rsid w:val="005A51C2"/>
    <w:rsid w:val="005B5A32"/>
    <w:rsid w:val="005C5123"/>
    <w:rsid w:val="005D27A0"/>
    <w:rsid w:val="005D74D4"/>
    <w:rsid w:val="005E0495"/>
    <w:rsid w:val="005F2248"/>
    <w:rsid w:val="005F3104"/>
    <w:rsid w:val="006117AC"/>
    <w:rsid w:val="006238E7"/>
    <w:rsid w:val="006372E3"/>
    <w:rsid w:val="00642560"/>
    <w:rsid w:val="006449B2"/>
    <w:rsid w:val="0065002F"/>
    <w:rsid w:val="00657602"/>
    <w:rsid w:val="00661B37"/>
    <w:rsid w:val="00662090"/>
    <w:rsid w:val="00671176"/>
    <w:rsid w:val="00673F56"/>
    <w:rsid w:val="00675572"/>
    <w:rsid w:val="006A0FFB"/>
    <w:rsid w:val="006A638C"/>
    <w:rsid w:val="006B0769"/>
    <w:rsid w:val="006C1D6B"/>
    <w:rsid w:val="006C749C"/>
    <w:rsid w:val="006E08AA"/>
    <w:rsid w:val="006E4CE6"/>
    <w:rsid w:val="006F1ABC"/>
    <w:rsid w:val="006F223B"/>
    <w:rsid w:val="00700EBE"/>
    <w:rsid w:val="00705780"/>
    <w:rsid w:val="0071452C"/>
    <w:rsid w:val="00753FB8"/>
    <w:rsid w:val="00756D2E"/>
    <w:rsid w:val="00766B96"/>
    <w:rsid w:val="0077193A"/>
    <w:rsid w:val="00772AE8"/>
    <w:rsid w:val="00773179"/>
    <w:rsid w:val="00775D8F"/>
    <w:rsid w:val="007856A9"/>
    <w:rsid w:val="00796208"/>
    <w:rsid w:val="007971AF"/>
    <w:rsid w:val="007A0BD2"/>
    <w:rsid w:val="007A2D97"/>
    <w:rsid w:val="007A56F4"/>
    <w:rsid w:val="007C7E2F"/>
    <w:rsid w:val="00801318"/>
    <w:rsid w:val="00801A57"/>
    <w:rsid w:val="00803F72"/>
    <w:rsid w:val="008147BD"/>
    <w:rsid w:val="008161F9"/>
    <w:rsid w:val="008266CB"/>
    <w:rsid w:val="00852F43"/>
    <w:rsid w:val="00860A15"/>
    <w:rsid w:val="00866E76"/>
    <w:rsid w:val="008A112F"/>
    <w:rsid w:val="008D2AC0"/>
    <w:rsid w:val="008E1567"/>
    <w:rsid w:val="008F206C"/>
    <w:rsid w:val="008F2E23"/>
    <w:rsid w:val="008F56AA"/>
    <w:rsid w:val="008F6919"/>
    <w:rsid w:val="009025F6"/>
    <w:rsid w:val="00905D5C"/>
    <w:rsid w:val="00917ED0"/>
    <w:rsid w:val="009614BF"/>
    <w:rsid w:val="00964755"/>
    <w:rsid w:val="009803C2"/>
    <w:rsid w:val="009822D1"/>
    <w:rsid w:val="00984EB6"/>
    <w:rsid w:val="0099564E"/>
    <w:rsid w:val="0099577C"/>
    <w:rsid w:val="009A58E4"/>
    <w:rsid w:val="009B1F91"/>
    <w:rsid w:val="009C223D"/>
    <w:rsid w:val="009C26E5"/>
    <w:rsid w:val="009C7675"/>
    <w:rsid w:val="009D0BF9"/>
    <w:rsid w:val="009D53EF"/>
    <w:rsid w:val="009E043D"/>
    <w:rsid w:val="009E21EB"/>
    <w:rsid w:val="009E4711"/>
    <w:rsid w:val="009E72B9"/>
    <w:rsid w:val="009F1A10"/>
    <w:rsid w:val="009F6AC6"/>
    <w:rsid w:val="00A04ECB"/>
    <w:rsid w:val="00A11EC3"/>
    <w:rsid w:val="00A13B0E"/>
    <w:rsid w:val="00A15A37"/>
    <w:rsid w:val="00A1789B"/>
    <w:rsid w:val="00A23A5F"/>
    <w:rsid w:val="00A257B8"/>
    <w:rsid w:val="00A33EBD"/>
    <w:rsid w:val="00A42AD7"/>
    <w:rsid w:val="00A5002A"/>
    <w:rsid w:val="00A52BCA"/>
    <w:rsid w:val="00A52F6C"/>
    <w:rsid w:val="00A54233"/>
    <w:rsid w:val="00A550F2"/>
    <w:rsid w:val="00A7522E"/>
    <w:rsid w:val="00A75301"/>
    <w:rsid w:val="00A84F99"/>
    <w:rsid w:val="00A94C3B"/>
    <w:rsid w:val="00A950DB"/>
    <w:rsid w:val="00A970C9"/>
    <w:rsid w:val="00A97DAB"/>
    <w:rsid w:val="00AB03E7"/>
    <w:rsid w:val="00AB7B29"/>
    <w:rsid w:val="00AC2BFB"/>
    <w:rsid w:val="00AC622F"/>
    <w:rsid w:val="00AD2E93"/>
    <w:rsid w:val="00AD58D6"/>
    <w:rsid w:val="00AE0F23"/>
    <w:rsid w:val="00AE1A95"/>
    <w:rsid w:val="00B01B25"/>
    <w:rsid w:val="00B01D58"/>
    <w:rsid w:val="00B06AA2"/>
    <w:rsid w:val="00B13BA2"/>
    <w:rsid w:val="00B150C7"/>
    <w:rsid w:val="00B2448E"/>
    <w:rsid w:val="00B25885"/>
    <w:rsid w:val="00B43A02"/>
    <w:rsid w:val="00B44CB1"/>
    <w:rsid w:val="00B511E2"/>
    <w:rsid w:val="00B51B5A"/>
    <w:rsid w:val="00B54232"/>
    <w:rsid w:val="00B570D0"/>
    <w:rsid w:val="00B7247E"/>
    <w:rsid w:val="00B72485"/>
    <w:rsid w:val="00B73AED"/>
    <w:rsid w:val="00B81E88"/>
    <w:rsid w:val="00B8563E"/>
    <w:rsid w:val="00B974A9"/>
    <w:rsid w:val="00BA02DD"/>
    <w:rsid w:val="00BA1258"/>
    <w:rsid w:val="00BA296F"/>
    <w:rsid w:val="00BA4D21"/>
    <w:rsid w:val="00BA5796"/>
    <w:rsid w:val="00BA7C42"/>
    <w:rsid w:val="00BB2BFE"/>
    <w:rsid w:val="00BB2F7B"/>
    <w:rsid w:val="00BB311A"/>
    <w:rsid w:val="00BC1EDE"/>
    <w:rsid w:val="00BC5DFF"/>
    <w:rsid w:val="00BC7EE2"/>
    <w:rsid w:val="00BF16B3"/>
    <w:rsid w:val="00BF2EEE"/>
    <w:rsid w:val="00C07DE7"/>
    <w:rsid w:val="00C163E9"/>
    <w:rsid w:val="00C165F0"/>
    <w:rsid w:val="00C31E88"/>
    <w:rsid w:val="00C34821"/>
    <w:rsid w:val="00C34C24"/>
    <w:rsid w:val="00C4208C"/>
    <w:rsid w:val="00C428FA"/>
    <w:rsid w:val="00C42D99"/>
    <w:rsid w:val="00C4388F"/>
    <w:rsid w:val="00C45226"/>
    <w:rsid w:val="00C72122"/>
    <w:rsid w:val="00C81635"/>
    <w:rsid w:val="00C839D4"/>
    <w:rsid w:val="00C956AB"/>
    <w:rsid w:val="00CC4D46"/>
    <w:rsid w:val="00CD5F33"/>
    <w:rsid w:val="00CF246E"/>
    <w:rsid w:val="00CF3127"/>
    <w:rsid w:val="00CF5448"/>
    <w:rsid w:val="00D04686"/>
    <w:rsid w:val="00D051CF"/>
    <w:rsid w:val="00D06B25"/>
    <w:rsid w:val="00D1275D"/>
    <w:rsid w:val="00D17F5C"/>
    <w:rsid w:val="00D2764B"/>
    <w:rsid w:val="00D27C5B"/>
    <w:rsid w:val="00D366D3"/>
    <w:rsid w:val="00D3731D"/>
    <w:rsid w:val="00D378B6"/>
    <w:rsid w:val="00D42AD5"/>
    <w:rsid w:val="00D4775B"/>
    <w:rsid w:val="00D47FBC"/>
    <w:rsid w:val="00D533E0"/>
    <w:rsid w:val="00D55B5F"/>
    <w:rsid w:val="00D639E2"/>
    <w:rsid w:val="00D76CE5"/>
    <w:rsid w:val="00D802C4"/>
    <w:rsid w:val="00D91B2F"/>
    <w:rsid w:val="00D97400"/>
    <w:rsid w:val="00DA0800"/>
    <w:rsid w:val="00DA2C04"/>
    <w:rsid w:val="00DA4952"/>
    <w:rsid w:val="00DB5961"/>
    <w:rsid w:val="00DC0465"/>
    <w:rsid w:val="00DC06CF"/>
    <w:rsid w:val="00DC5993"/>
    <w:rsid w:val="00DD1066"/>
    <w:rsid w:val="00DE7B06"/>
    <w:rsid w:val="00E11474"/>
    <w:rsid w:val="00E11EAA"/>
    <w:rsid w:val="00E17215"/>
    <w:rsid w:val="00E20271"/>
    <w:rsid w:val="00E21F9C"/>
    <w:rsid w:val="00E26E09"/>
    <w:rsid w:val="00E41363"/>
    <w:rsid w:val="00E42A26"/>
    <w:rsid w:val="00E449C7"/>
    <w:rsid w:val="00E56021"/>
    <w:rsid w:val="00E71DBC"/>
    <w:rsid w:val="00E864AE"/>
    <w:rsid w:val="00E9159C"/>
    <w:rsid w:val="00E91FFD"/>
    <w:rsid w:val="00E95711"/>
    <w:rsid w:val="00EC4BA3"/>
    <w:rsid w:val="00ED27E2"/>
    <w:rsid w:val="00ED356B"/>
    <w:rsid w:val="00ED360D"/>
    <w:rsid w:val="00ED5F60"/>
    <w:rsid w:val="00EE0ADA"/>
    <w:rsid w:val="00EE10FB"/>
    <w:rsid w:val="00EF2C30"/>
    <w:rsid w:val="00F27B26"/>
    <w:rsid w:val="00F3351D"/>
    <w:rsid w:val="00F35956"/>
    <w:rsid w:val="00F43AF3"/>
    <w:rsid w:val="00F46C78"/>
    <w:rsid w:val="00F5578C"/>
    <w:rsid w:val="00F65FBE"/>
    <w:rsid w:val="00F70A63"/>
    <w:rsid w:val="00F712C5"/>
    <w:rsid w:val="00F753BE"/>
    <w:rsid w:val="00F76C93"/>
    <w:rsid w:val="00F80BE3"/>
    <w:rsid w:val="00F9251F"/>
    <w:rsid w:val="00F93869"/>
    <w:rsid w:val="00FA0564"/>
    <w:rsid w:val="00FB3220"/>
    <w:rsid w:val="00FD711D"/>
    <w:rsid w:val="00FE5EAE"/>
    <w:rsid w:val="00FE6234"/>
    <w:rsid w:val="00FE637E"/>
    <w:rsid w:val="00FF38C6"/>
    <w:rsid w:val="00FF4E1E"/>
    <w:rsid w:val="00FF7C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2D87B-FC15-4FC2-BA61-1E0C15B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D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D46"/>
    <w:rPr>
      <w:rFonts w:ascii="Segoe UI" w:hAnsi="Segoe UI" w:cs="Segoe UI"/>
      <w:sz w:val="18"/>
      <w:szCs w:val="18"/>
    </w:rPr>
  </w:style>
  <w:style w:type="paragraph" w:styleId="ListParagraph">
    <w:name w:val="List Paragraph"/>
    <w:basedOn w:val="Normal"/>
    <w:uiPriority w:val="34"/>
    <w:qFormat/>
    <w:rsid w:val="00A1789B"/>
    <w:pPr>
      <w:spacing w:after="160" w:line="259"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DA2C04"/>
    <w:rPr>
      <w:sz w:val="16"/>
      <w:szCs w:val="16"/>
    </w:rPr>
  </w:style>
  <w:style w:type="paragraph" w:styleId="CommentText">
    <w:name w:val="annotation text"/>
    <w:basedOn w:val="Normal"/>
    <w:link w:val="CommentTextChar"/>
    <w:uiPriority w:val="99"/>
    <w:semiHidden/>
    <w:unhideWhenUsed/>
    <w:rsid w:val="00DA2C04"/>
    <w:rPr>
      <w:sz w:val="20"/>
      <w:szCs w:val="20"/>
    </w:rPr>
  </w:style>
  <w:style w:type="character" w:customStyle="1" w:styleId="CommentTextChar">
    <w:name w:val="Comment Text Char"/>
    <w:basedOn w:val="DefaultParagraphFont"/>
    <w:link w:val="CommentText"/>
    <w:uiPriority w:val="99"/>
    <w:semiHidden/>
    <w:rsid w:val="00DA2C04"/>
    <w:rPr>
      <w:sz w:val="20"/>
      <w:szCs w:val="20"/>
    </w:rPr>
  </w:style>
  <w:style w:type="paragraph" w:styleId="CommentSubject">
    <w:name w:val="annotation subject"/>
    <w:basedOn w:val="CommentText"/>
    <w:next w:val="CommentText"/>
    <w:link w:val="CommentSubjectChar"/>
    <w:uiPriority w:val="99"/>
    <w:semiHidden/>
    <w:unhideWhenUsed/>
    <w:rsid w:val="00DA2C04"/>
    <w:rPr>
      <w:b/>
      <w:bCs/>
    </w:rPr>
  </w:style>
  <w:style w:type="character" w:customStyle="1" w:styleId="CommentSubjectChar">
    <w:name w:val="Comment Subject Char"/>
    <w:basedOn w:val="CommentTextChar"/>
    <w:link w:val="CommentSubject"/>
    <w:uiPriority w:val="99"/>
    <w:semiHidden/>
    <w:rsid w:val="00DA2C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17409-930B-4304-9135-2132DA48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5409</Words>
  <Characters>30837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Decker Cammack</dc:creator>
  <cp:keywords/>
  <cp:lastModifiedBy>Paul Hayes</cp:lastModifiedBy>
  <cp:revision>2</cp:revision>
  <dcterms:created xsi:type="dcterms:W3CDTF">2019-04-24T17:10:00Z</dcterms:created>
  <dcterms:modified xsi:type="dcterms:W3CDTF">2019-04-24T17:10:00Z</dcterms:modified>
</cp:coreProperties>
</file>